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C6869" w14:textId="77777777" w:rsidR="002E5158" w:rsidRDefault="002E5158">
      <w:pPr>
        <w:rPr>
          <w:b/>
        </w:rPr>
      </w:pPr>
      <w:r>
        <w:rPr>
          <w:b/>
        </w:rPr>
        <w:t>Hankedokument</w:t>
      </w:r>
    </w:p>
    <w:p w14:paraId="17EE7A3C" w14:textId="77777777" w:rsidR="002E5158" w:rsidRDefault="002E5158"/>
    <w:p w14:paraId="32D40D77" w14:textId="77777777" w:rsidR="002E5158" w:rsidRDefault="002E5158">
      <w:pPr>
        <w:rPr>
          <w:b/>
        </w:rPr>
      </w:pPr>
      <w:r>
        <w:t xml:space="preserve">Hankija: </w:t>
      </w:r>
      <w:r>
        <w:rPr>
          <w:b/>
        </w:rPr>
        <w:t>Aktsiaselts Järvamaa Haigla</w:t>
      </w:r>
    </w:p>
    <w:p w14:paraId="0C155484" w14:textId="77777777" w:rsidR="002E5158" w:rsidRDefault="002E5158">
      <w:pPr>
        <w:rPr>
          <w:b/>
        </w:rPr>
      </w:pPr>
      <w:r>
        <w:t xml:space="preserve">Hanke nimetus: </w:t>
      </w:r>
      <w:r>
        <w:rPr>
          <w:b/>
        </w:rPr>
        <w:t>„Järvamaa Haigla B-korpuse I korruse epoksiidpõrandate parandustööd“</w:t>
      </w:r>
    </w:p>
    <w:p w14:paraId="29580DF7" w14:textId="77777777" w:rsidR="002E5158" w:rsidRDefault="002E5158">
      <w:pPr>
        <w:tabs>
          <w:tab w:val="left" w:pos="7938"/>
        </w:tabs>
      </w:pPr>
    </w:p>
    <w:p w14:paraId="321C978B" w14:textId="77777777" w:rsidR="002E5158" w:rsidRDefault="002E5158">
      <w:pPr>
        <w:tabs>
          <w:tab w:val="left" w:pos="7938"/>
        </w:tabs>
        <w:jc w:val="both"/>
        <w:rPr>
          <w:b/>
          <w:bCs/>
        </w:rPr>
      </w:pPr>
      <w:r>
        <w:rPr>
          <w:b/>
          <w:bCs/>
        </w:rPr>
        <w:t>Hanke tehniline kirjeldus, pakkumusevorm ja Pakkuja, et Pakkumus vastab Hankija poolt käesolevas dokumendis esitatud tingimustele.</w:t>
      </w:r>
    </w:p>
    <w:p w14:paraId="0DEE8F08" w14:textId="77777777" w:rsidR="002E5158" w:rsidRDefault="002E5158">
      <w:pPr>
        <w:tabs>
          <w:tab w:val="left" w:pos="7938"/>
        </w:tabs>
        <w:jc w:val="both"/>
        <w:rPr>
          <w:b/>
          <w:bCs/>
        </w:rPr>
      </w:pPr>
    </w:p>
    <w:p w14:paraId="13F1F017" w14:textId="77777777" w:rsidR="002E5158" w:rsidRDefault="002E5158">
      <w:pPr>
        <w:tabs>
          <w:tab w:val="left" w:pos="7938"/>
        </w:tabs>
        <w:jc w:val="both"/>
      </w:pPr>
      <w:r>
        <w:t>Aktsiaselts Järvamaa Haigla kutsub kõiki hankest huvitatud isikuid ja võimalikke pakkujaid osalema alla lihthanke piirmäära jääval riigihankel „</w:t>
      </w:r>
      <w:r>
        <w:rPr>
          <w:b/>
        </w:rPr>
        <w:t>Järvamaa Haigla B-korpuse I korruse epoksiidpõrandate parandustööd</w:t>
      </w:r>
      <w:r>
        <w:t xml:space="preserve">“. Hankeobjektiks olevate remonditööde tehnilise kirjelduse ning hankelepingu oluliste tingimustega palume tutvuda käesolevas dokumendis. </w:t>
      </w:r>
    </w:p>
    <w:p w14:paraId="43944F16" w14:textId="77777777" w:rsidR="002E5158" w:rsidRDefault="002E5158">
      <w:pPr>
        <w:tabs>
          <w:tab w:val="left" w:pos="7938"/>
        </w:tabs>
        <w:jc w:val="both"/>
      </w:pPr>
    </w:p>
    <w:p w14:paraId="2BAAE9B1" w14:textId="77777777" w:rsidR="002E5158" w:rsidRDefault="002E5158">
      <w:pPr>
        <w:tabs>
          <w:tab w:val="left" w:pos="7938"/>
        </w:tabs>
        <w:jc w:val="both"/>
      </w:pPr>
      <w:r>
        <w:t>Pakkumused tuleb esitada elektronposti teel</w:t>
      </w:r>
      <w:r>
        <w:rPr>
          <w:b/>
        </w:rPr>
        <w:t xml:space="preserve"> hiljemalt </w:t>
      </w:r>
      <w:r w:rsidR="004D18E0">
        <w:rPr>
          <w:b/>
        </w:rPr>
        <w:t>22. juun</w:t>
      </w:r>
      <w:r>
        <w:rPr>
          <w:b/>
        </w:rPr>
        <w:t>i 202</w:t>
      </w:r>
      <w:r w:rsidR="004D18E0">
        <w:rPr>
          <w:b/>
        </w:rPr>
        <w:t>1</w:t>
      </w:r>
      <w:r>
        <w:rPr>
          <w:b/>
        </w:rPr>
        <w:t>.a kell 1</w:t>
      </w:r>
      <w:r w:rsidR="004D18E0">
        <w:rPr>
          <w:b/>
        </w:rPr>
        <w:t>1</w:t>
      </w:r>
      <w:r>
        <w:rPr>
          <w:b/>
        </w:rPr>
        <w:t xml:space="preserve">:00 aadressile </w:t>
      </w:r>
      <w:hyperlink r:id="rId7" w:history="1">
        <w:r>
          <w:rPr>
            <w:rStyle w:val="Hyperlink"/>
          </w:rPr>
          <w:t>haigla@jmh.ee</w:t>
        </w:r>
      </w:hyperlink>
      <w:r>
        <w:rPr>
          <w:b/>
        </w:rPr>
        <w:t xml:space="preserve">, </w:t>
      </w:r>
      <w:r>
        <w:t xml:space="preserve">Elektronkirja teemareale tuleb märkida </w:t>
      </w:r>
      <w:r>
        <w:rPr>
          <w:i/>
        </w:rPr>
        <w:t>„</w:t>
      </w:r>
      <w:r w:rsidR="004D18E0">
        <w:rPr>
          <w:i/>
        </w:rPr>
        <w:t>Põrandate remont</w:t>
      </w:r>
      <w:r>
        <w:rPr>
          <w:i/>
        </w:rPr>
        <w:t>“</w:t>
      </w:r>
      <w:r>
        <w:t>. Pakkumused, mis on esitatud paberkandjatel või millised ei ole saabunud käesolevas lõigus nimetatud elektronposti aadressile hiljemalt eelnimetatud tähtpäevaks ja kellaajaks, ei osale pakkumismenetluses. Tingimuslike pakkumuste esitamine ei ole lubatud. Tingimuslikud pakkumused kuuluvad viivitamatult tagasilükkamisele.</w:t>
      </w:r>
    </w:p>
    <w:p w14:paraId="56D3F7F4" w14:textId="77777777" w:rsidR="002E5158" w:rsidRDefault="002E5158">
      <w:pPr>
        <w:tabs>
          <w:tab w:val="left" w:pos="7938"/>
        </w:tabs>
        <w:jc w:val="both"/>
      </w:pPr>
    </w:p>
    <w:p w14:paraId="1CDC1E84" w14:textId="77777777" w:rsidR="002E5158" w:rsidRDefault="002E5158">
      <w:pPr>
        <w:tabs>
          <w:tab w:val="left" w:pos="7938"/>
        </w:tabs>
        <w:jc w:val="both"/>
      </w:pPr>
      <w:r>
        <w:t xml:space="preserve">Kogu käesolevat hankemenetlust, hankeobjekti puudutavaid tehnilisi ning muid hankemenetlusega seotud küsimusi puudutav suhtlus toimub üksnes elektrooniliste kandjate kaudu, pöördumisel aadressile </w:t>
      </w:r>
      <w:hyperlink r:id="rId8" w:history="1">
        <w:r w:rsidR="004D18E0" w:rsidRPr="00F35552">
          <w:rPr>
            <w:rStyle w:val="Hyperlink"/>
          </w:rPr>
          <w:t>haigla@jmh.ee</w:t>
        </w:r>
      </w:hyperlink>
      <w:r>
        <w:t xml:space="preserve">. Hankija teeb kõik käesolevast pakkumuste esitamise ettepanekust tulenevad küsimused ja/või tehnilise kirjelduse osas esitatud küsimused koos vastustega avalikult teatavaks hankija kodulehel aadressil </w:t>
      </w:r>
      <w:hyperlink r:id="rId9" w:history="1">
        <w:r>
          <w:rPr>
            <w:rStyle w:val="Hyperlink"/>
          </w:rPr>
          <w:t>www.jmh.ee</w:t>
        </w:r>
      </w:hyperlink>
      <w:r>
        <w:t>, hangete teemalehel. Hankija ei avalikusta oma kodulehel konkreetse küsimuse esitanud ettevõtja ja/või tema esindaja nimesid.</w:t>
      </w:r>
    </w:p>
    <w:p w14:paraId="438B5D62" w14:textId="77777777" w:rsidR="002E5158" w:rsidRDefault="002E5158">
      <w:pPr>
        <w:tabs>
          <w:tab w:val="left" w:pos="7938"/>
        </w:tabs>
        <w:jc w:val="both"/>
      </w:pPr>
    </w:p>
    <w:p w14:paraId="548A519E" w14:textId="77777777" w:rsidR="002E5158" w:rsidRDefault="002E5158">
      <w:pPr>
        <w:tabs>
          <w:tab w:val="left" w:pos="7938"/>
        </w:tabs>
        <w:jc w:val="both"/>
      </w:pPr>
      <w:r>
        <w:t>Hankija jätab endale õiguse astuda tähtaegselt pakkumuse esitanud, käesolevast pakkumuste esitamise ettepanekust tulenevatele tingimustele vastavad pakkumused esitanud</w:t>
      </w:r>
      <w:r>
        <w:rPr>
          <w:u w:val="single"/>
        </w:rPr>
        <w:t>,</w:t>
      </w:r>
      <w:r>
        <w:t xml:space="preserve"> pakkujatega läbirääkimistesse pakutavate remonditööde teostamise aja ja maksumuse üle. Läbirääkimiste pidamise soovist ning täpsemast korrast teavitab hankija tähtaegselt pakkumused esitanud pakkujaid elektronkirja teel.</w:t>
      </w:r>
    </w:p>
    <w:p w14:paraId="5969EC25" w14:textId="77777777" w:rsidR="002E5158" w:rsidRDefault="002E5158">
      <w:pPr>
        <w:jc w:val="both"/>
      </w:pPr>
    </w:p>
    <w:p w14:paraId="4F9527CC" w14:textId="77777777" w:rsidR="002E5158" w:rsidRDefault="002E5158">
      <w:pPr>
        <w:jc w:val="both"/>
      </w:pPr>
      <w:r>
        <w:t>Pakkumuste hindamiskriteeriumiks on madalaim maksumus.</w:t>
      </w:r>
    </w:p>
    <w:p w14:paraId="2824AD94" w14:textId="77777777" w:rsidR="002E5158" w:rsidRDefault="002E5158">
      <w:pPr>
        <w:jc w:val="both"/>
      </w:pPr>
    </w:p>
    <w:p w14:paraId="2223D2E5" w14:textId="77777777" w:rsidR="002E5158" w:rsidRDefault="002E5158">
      <w:pPr>
        <w:jc w:val="both"/>
      </w:pPr>
      <w:r>
        <w:t>Hankija jätab endale õiguse kõikide pakkumuste tagasilükkamiseks.</w:t>
      </w:r>
    </w:p>
    <w:p w14:paraId="535E63A5" w14:textId="77777777" w:rsidR="002E5158" w:rsidRDefault="002E5158">
      <w:pPr>
        <w:jc w:val="both"/>
      </w:pPr>
    </w:p>
    <w:p w14:paraId="6721A394" w14:textId="77777777" w:rsidR="002E5158" w:rsidRDefault="002E5158">
      <w:pPr>
        <w:jc w:val="both"/>
      </w:pPr>
      <w:r>
        <w:t>Eduka pakkujaga sõlmitakse hankeleping. Poolte vahelisele hankelepingule kohaldatakse Eesti Vabariigi õigust. Hankelepingust tulenevad vaidlused lahendatakse eelkõige läbirääkimiste teel. Juhul kui lepingust tõusetunud vaidluste lahendamine ei ole läbirääkimiste teel võimalik, lahendatakse vaidlus esmases järjekorras Pärnu maakohtus.</w:t>
      </w:r>
    </w:p>
    <w:p w14:paraId="108D6186" w14:textId="77777777" w:rsidR="002E5158" w:rsidRDefault="002E5158">
      <w:pPr>
        <w:jc w:val="both"/>
      </w:pPr>
    </w:p>
    <w:p w14:paraId="1AE315B8" w14:textId="77777777" w:rsidR="002E5158" w:rsidRDefault="002E5158">
      <w:pPr>
        <w:jc w:val="both"/>
      </w:pPr>
    </w:p>
    <w:p w14:paraId="14C4E4A0" w14:textId="77777777" w:rsidR="002E5158" w:rsidRDefault="002E5158">
      <w:pPr>
        <w:jc w:val="both"/>
      </w:pPr>
      <w:r>
        <w:t>Pakkumus tuleb esitada vastavalt lisatud tehnilisele kirjeldusele- pakkumuse vormile.</w:t>
      </w:r>
    </w:p>
    <w:p w14:paraId="60838B1D" w14:textId="77777777" w:rsidR="002E5158" w:rsidRDefault="002E5158">
      <w:pPr>
        <w:jc w:val="both"/>
      </w:pPr>
    </w:p>
    <w:p w14:paraId="317CD232" w14:textId="77777777" w:rsidR="002E5158" w:rsidRDefault="002E5158">
      <w:pPr>
        <w:jc w:val="both"/>
      </w:pPr>
    </w:p>
    <w:p w14:paraId="1C9888E8" w14:textId="77777777" w:rsidR="002E5158" w:rsidRDefault="002E5158">
      <w:pPr>
        <w:spacing w:after="120"/>
        <w:jc w:val="both"/>
        <w:rPr>
          <w:b/>
        </w:rPr>
      </w:pPr>
      <w:r>
        <w:rPr>
          <w:b/>
        </w:rPr>
        <w:t>Tehniline kirjeldus-pakkumuse vorm</w:t>
      </w:r>
    </w:p>
    <w:tbl>
      <w:tblPr>
        <w:tblW w:w="9351" w:type="dxa"/>
        <w:tblLayout w:type="fixed"/>
        <w:tblCellMar>
          <w:left w:w="70" w:type="dxa"/>
          <w:right w:w="70" w:type="dxa"/>
        </w:tblCellMar>
        <w:tblLook w:val="0000" w:firstRow="0" w:lastRow="0" w:firstColumn="0" w:lastColumn="0" w:noHBand="0" w:noVBand="0"/>
      </w:tblPr>
      <w:tblGrid>
        <w:gridCol w:w="847"/>
        <w:gridCol w:w="4257"/>
        <w:gridCol w:w="1154"/>
        <w:gridCol w:w="1248"/>
        <w:gridCol w:w="1845"/>
      </w:tblGrid>
      <w:tr w:rsidR="002E5158" w14:paraId="60B93699" w14:textId="77777777" w:rsidTr="00B55C54">
        <w:trPr>
          <w:trHeight w:val="255"/>
        </w:trPr>
        <w:tc>
          <w:tcPr>
            <w:tcW w:w="847" w:type="dxa"/>
            <w:tcBorders>
              <w:top w:val="single" w:sz="4" w:space="0" w:color="000000"/>
              <w:left w:val="single" w:sz="4" w:space="0" w:color="000000"/>
              <w:bottom w:val="single" w:sz="4" w:space="0" w:color="000000"/>
              <w:right w:val="single" w:sz="4" w:space="0" w:color="000000"/>
            </w:tcBorders>
            <w:shd w:val="clear" w:color="auto" w:fill="BFBFBF"/>
          </w:tcPr>
          <w:p w14:paraId="22C8DD5D" w14:textId="77777777" w:rsidR="002E5158" w:rsidRDefault="002E5158">
            <w:pPr>
              <w:jc w:val="right"/>
              <w:rPr>
                <w:b/>
              </w:rPr>
            </w:pPr>
            <w:r>
              <w:rPr>
                <w:b/>
              </w:rPr>
              <w:t xml:space="preserve">Jrk </w:t>
            </w:r>
          </w:p>
        </w:tc>
        <w:tc>
          <w:tcPr>
            <w:tcW w:w="4257" w:type="dxa"/>
            <w:tcBorders>
              <w:top w:val="single" w:sz="4" w:space="0" w:color="000000"/>
              <w:left w:val="single" w:sz="4" w:space="0" w:color="000000"/>
              <w:bottom w:val="single" w:sz="4" w:space="0" w:color="000000"/>
              <w:right w:val="single" w:sz="4" w:space="0" w:color="000000"/>
            </w:tcBorders>
            <w:shd w:val="clear" w:color="auto" w:fill="BFBFBF"/>
          </w:tcPr>
          <w:p w14:paraId="0EE0EB4A" w14:textId="77777777" w:rsidR="002E5158" w:rsidRDefault="002E5158">
            <w:pPr>
              <w:rPr>
                <w:b/>
              </w:rPr>
            </w:pPr>
            <w:r>
              <w:rPr>
                <w:b/>
              </w:rPr>
              <w:t>Nimetus</w:t>
            </w:r>
          </w:p>
        </w:tc>
        <w:tc>
          <w:tcPr>
            <w:tcW w:w="1154" w:type="dxa"/>
            <w:tcBorders>
              <w:top w:val="single" w:sz="4" w:space="0" w:color="000000"/>
              <w:left w:val="single" w:sz="4" w:space="0" w:color="000000"/>
              <w:bottom w:val="single" w:sz="4" w:space="0" w:color="000000"/>
              <w:right w:val="single" w:sz="4" w:space="0" w:color="000000"/>
            </w:tcBorders>
            <w:shd w:val="clear" w:color="auto" w:fill="BFBFBF"/>
          </w:tcPr>
          <w:p w14:paraId="65AF39B1" w14:textId="77777777" w:rsidR="002E5158" w:rsidRDefault="002E5158">
            <w:pPr>
              <w:jc w:val="center"/>
              <w:rPr>
                <w:b/>
              </w:rPr>
            </w:pPr>
            <w:r>
              <w:rPr>
                <w:b/>
              </w:rPr>
              <w:t>Mõõtühik</w:t>
            </w:r>
          </w:p>
        </w:tc>
        <w:tc>
          <w:tcPr>
            <w:tcW w:w="1248" w:type="dxa"/>
            <w:tcBorders>
              <w:top w:val="single" w:sz="4" w:space="0" w:color="000000"/>
              <w:left w:val="single" w:sz="4" w:space="0" w:color="000000"/>
              <w:bottom w:val="single" w:sz="4" w:space="0" w:color="000000"/>
              <w:right w:val="single" w:sz="4" w:space="0" w:color="000000"/>
            </w:tcBorders>
            <w:shd w:val="clear" w:color="auto" w:fill="BFBFBF"/>
          </w:tcPr>
          <w:p w14:paraId="0E4523E7" w14:textId="77777777" w:rsidR="002E5158" w:rsidRDefault="002E5158">
            <w:pPr>
              <w:jc w:val="center"/>
              <w:rPr>
                <w:b/>
              </w:rPr>
            </w:pPr>
            <w:r>
              <w:rPr>
                <w:b/>
              </w:rPr>
              <w:t>Maht</w:t>
            </w:r>
          </w:p>
        </w:tc>
        <w:tc>
          <w:tcPr>
            <w:tcW w:w="1845" w:type="dxa"/>
            <w:tcBorders>
              <w:top w:val="single" w:sz="4" w:space="0" w:color="000000"/>
              <w:left w:val="single" w:sz="4" w:space="0" w:color="000000"/>
              <w:bottom w:val="single" w:sz="4" w:space="0" w:color="000000"/>
              <w:right w:val="single" w:sz="4" w:space="0" w:color="000000"/>
            </w:tcBorders>
            <w:shd w:val="clear" w:color="auto" w:fill="BFBFBF"/>
          </w:tcPr>
          <w:p w14:paraId="0D7F1E47" w14:textId="77777777" w:rsidR="002E5158" w:rsidRDefault="002E5158">
            <w:pPr>
              <w:jc w:val="right"/>
              <w:rPr>
                <w:b/>
              </w:rPr>
            </w:pPr>
            <w:r>
              <w:rPr>
                <w:b/>
              </w:rPr>
              <w:t>Maksumus EUR (käibemaksuta)</w:t>
            </w:r>
          </w:p>
        </w:tc>
      </w:tr>
      <w:tr w:rsidR="002E5158" w14:paraId="2654463D" w14:textId="77777777" w:rsidTr="00B55C54">
        <w:trPr>
          <w:trHeight w:val="255"/>
        </w:trPr>
        <w:tc>
          <w:tcPr>
            <w:tcW w:w="847" w:type="dxa"/>
            <w:tcBorders>
              <w:left w:val="single" w:sz="4" w:space="0" w:color="000000"/>
              <w:bottom w:val="single" w:sz="4" w:space="0" w:color="000000"/>
              <w:right w:val="single" w:sz="4" w:space="0" w:color="000000"/>
            </w:tcBorders>
            <w:shd w:val="clear" w:color="auto" w:fill="FFFFFF"/>
            <w:vAlign w:val="bottom"/>
          </w:tcPr>
          <w:p w14:paraId="3C707D40" w14:textId="77777777" w:rsidR="002E5158" w:rsidRDefault="002E5158">
            <w:pPr>
              <w:jc w:val="right"/>
            </w:pPr>
            <w:r>
              <w:t>1</w:t>
            </w:r>
          </w:p>
        </w:tc>
        <w:tc>
          <w:tcPr>
            <w:tcW w:w="4257" w:type="dxa"/>
            <w:tcBorders>
              <w:bottom w:val="single" w:sz="4" w:space="0" w:color="000000"/>
              <w:right w:val="single" w:sz="4" w:space="0" w:color="000000"/>
            </w:tcBorders>
            <w:shd w:val="clear" w:color="auto" w:fill="FFFFFF"/>
            <w:vAlign w:val="bottom"/>
          </w:tcPr>
          <w:p w14:paraId="4281C8C8" w14:textId="43FFECCD" w:rsidR="002E5158" w:rsidRDefault="002E5158">
            <w:r>
              <w:t>B korpuse sterili</w:t>
            </w:r>
            <w:r w:rsidR="00B55C54">
              <w:t>satsiooni ruumide</w:t>
            </w:r>
            <w:r>
              <w:t xml:space="preserve"> </w:t>
            </w:r>
            <w:r w:rsidR="00B55C54">
              <w:t>põranda katmine istetasanduva värvihelbetega epo-massi 1</w:t>
            </w:r>
            <w:r>
              <w:t xml:space="preserve"> mm paksuse kihiga</w:t>
            </w:r>
          </w:p>
        </w:tc>
        <w:tc>
          <w:tcPr>
            <w:tcW w:w="1154" w:type="dxa"/>
            <w:tcBorders>
              <w:bottom w:val="single" w:sz="4" w:space="0" w:color="000000"/>
              <w:right w:val="single" w:sz="4" w:space="0" w:color="000000"/>
            </w:tcBorders>
            <w:shd w:val="clear" w:color="auto" w:fill="FFFFFF"/>
            <w:vAlign w:val="bottom"/>
          </w:tcPr>
          <w:p w14:paraId="080073E8" w14:textId="77777777" w:rsidR="002E5158" w:rsidRDefault="002E5158">
            <w:pPr>
              <w:jc w:val="center"/>
              <w:rPr>
                <w:vertAlign w:val="superscript"/>
              </w:rPr>
            </w:pPr>
            <w:r>
              <w:t>m</w:t>
            </w:r>
            <w:r>
              <w:rPr>
                <w:vertAlign w:val="superscript"/>
              </w:rPr>
              <w:t>2</w:t>
            </w:r>
          </w:p>
        </w:tc>
        <w:tc>
          <w:tcPr>
            <w:tcW w:w="1248" w:type="dxa"/>
            <w:tcBorders>
              <w:bottom w:val="single" w:sz="4" w:space="0" w:color="000000"/>
              <w:right w:val="single" w:sz="4" w:space="0" w:color="000000"/>
            </w:tcBorders>
            <w:shd w:val="clear" w:color="auto" w:fill="FFFFFF"/>
            <w:vAlign w:val="bottom"/>
          </w:tcPr>
          <w:p w14:paraId="146B3731" w14:textId="77777777" w:rsidR="002E5158" w:rsidRDefault="004D18E0">
            <w:pPr>
              <w:jc w:val="center"/>
            </w:pPr>
            <w:r>
              <w:t>43</w:t>
            </w:r>
          </w:p>
        </w:tc>
        <w:tc>
          <w:tcPr>
            <w:tcW w:w="1845" w:type="dxa"/>
            <w:tcBorders>
              <w:bottom w:val="single" w:sz="4" w:space="0" w:color="000000"/>
              <w:right w:val="single" w:sz="4" w:space="0" w:color="000000"/>
            </w:tcBorders>
            <w:shd w:val="clear" w:color="auto" w:fill="FFFFFF"/>
            <w:vAlign w:val="bottom"/>
          </w:tcPr>
          <w:p w14:paraId="70311735" w14:textId="77777777" w:rsidR="002E5158" w:rsidRDefault="002E5158">
            <w:pPr>
              <w:jc w:val="right"/>
              <w:rPr>
                <w:sz w:val="20"/>
                <w:szCs w:val="20"/>
              </w:rPr>
            </w:pPr>
          </w:p>
        </w:tc>
      </w:tr>
      <w:tr w:rsidR="002E5158" w14:paraId="753C42EC" w14:textId="77777777" w:rsidTr="00B55C54">
        <w:trPr>
          <w:trHeight w:val="255"/>
        </w:trPr>
        <w:tc>
          <w:tcPr>
            <w:tcW w:w="847" w:type="dxa"/>
            <w:tcBorders>
              <w:left w:val="single" w:sz="4" w:space="0" w:color="000000"/>
              <w:bottom w:val="single" w:sz="4" w:space="0" w:color="000000"/>
              <w:right w:val="single" w:sz="4" w:space="0" w:color="000000"/>
            </w:tcBorders>
            <w:shd w:val="clear" w:color="auto" w:fill="FFFFFF"/>
            <w:vAlign w:val="bottom"/>
          </w:tcPr>
          <w:p w14:paraId="0A1760EA" w14:textId="77777777" w:rsidR="002E5158" w:rsidRDefault="004D18E0">
            <w:pPr>
              <w:jc w:val="right"/>
            </w:pPr>
            <w:r>
              <w:t>2</w:t>
            </w:r>
          </w:p>
        </w:tc>
        <w:tc>
          <w:tcPr>
            <w:tcW w:w="4257" w:type="dxa"/>
            <w:tcBorders>
              <w:bottom w:val="single" w:sz="4" w:space="0" w:color="000000"/>
              <w:right w:val="single" w:sz="4" w:space="0" w:color="000000"/>
            </w:tcBorders>
            <w:shd w:val="clear" w:color="auto" w:fill="FFFFFF"/>
            <w:vAlign w:val="bottom"/>
          </w:tcPr>
          <w:p w14:paraId="358B1B61" w14:textId="77777777" w:rsidR="00B55C54" w:rsidRDefault="002E5158">
            <w:r>
              <w:t xml:space="preserve">B koridori põranda katmine </w:t>
            </w:r>
          </w:p>
          <w:p w14:paraId="3DEDA0D0" w14:textId="4B248E0B" w:rsidR="002E5158" w:rsidRDefault="00B55C54">
            <w:r w:rsidRPr="00B55C54">
              <w:t>istetasanduva värvihelbetega epo-massi 1 mm paksuse kihiga</w:t>
            </w:r>
          </w:p>
        </w:tc>
        <w:tc>
          <w:tcPr>
            <w:tcW w:w="1154" w:type="dxa"/>
            <w:tcBorders>
              <w:bottom w:val="single" w:sz="4" w:space="0" w:color="000000"/>
              <w:right w:val="single" w:sz="4" w:space="0" w:color="000000"/>
            </w:tcBorders>
            <w:shd w:val="clear" w:color="auto" w:fill="FFFFFF"/>
            <w:vAlign w:val="bottom"/>
          </w:tcPr>
          <w:p w14:paraId="603F210E" w14:textId="77777777" w:rsidR="002E5158" w:rsidRDefault="002E5158">
            <w:pPr>
              <w:jc w:val="center"/>
              <w:rPr>
                <w:vertAlign w:val="superscript"/>
              </w:rPr>
            </w:pPr>
            <w:r>
              <w:t>m</w:t>
            </w:r>
            <w:r>
              <w:rPr>
                <w:vertAlign w:val="superscript"/>
              </w:rPr>
              <w:t>2</w:t>
            </w:r>
          </w:p>
        </w:tc>
        <w:tc>
          <w:tcPr>
            <w:tcW w:w="1248" w:type="dxa"/>
            <w:tcBorders>
              <w:bottom w:val="single" w:sz="4" w:space="0" w:color="000000"/>
              <w:right w:val="single" w:sz="4" w:space="0" w:color="000000"/>
            </w:tcBorders>
            <w:shd w:val="clear" w:color="auto" w:fill="FFFFFF"/>
            <w:vAlign w:val="bottom"/>
          </w:tcPr>
          <w:p w14:paraId="70E3F997" w14:textId="77777777" w:rsidR="002E5158" w:rsidRDefault="002E5158">
            <w:pPr>
              <w:jc w:val="center"/>
            </w:pPr>
            <w:r>
              <w:t>40</w:t>
            </w:r>
          </w:p>
        </w:tc>
        <w:tc>
          <w:tcPr>
            <w:tcW w:w="1845" w:type="dxa"/>
            <w:tcBorders>
              <w:bottom w:val="single" w:sz="4" w:space="0" w:color="000000"/>
              <w:right w:val="single" w:sz="4" w:space="0" w:color="000000"/>
            </w:tcBorders>
            <w:shd w:val="clear" w:color="auto" w:fill="FFFFFF"/>
            <w:vAlign w:val="bottom"/>
          </w:tcPr>
          <w:p w14:paraId="74EAF815" w14:textId="77777777" w:rsidR="002E5158" w:rsidRDefault="002E5158">
            <w:pPr>
              <w:jc w:val="right"/>
              <w:rPr>
                <w:sz w:val="20"/>
                <w:szCs w:val="20"/>
              </w:rPr>
            </w:pPr>
          </w:p>
        </w:tc>
      </w:tr>
      <w:tr w:rsidR="002E5158" w14:paraId="49B4FA7A" w14:textId="77777777" w:rsidTr="00B55C54">
        <w:trPr>
          <w:trHeight w:val="255"/>
        </w:trPr>
        <w:tc>
          <w:tcPr>
            <w:tcW w:w="847" w:type="dxa"/>
            <w:tcBorders>
              <w:left w:val="single" w:sz="4" w:space="0" w:color="000000"/>
              <w:bottom w:val="single" w:sz="4" w:space="0" w:color="000000"/>
              <w:right w:val="single" w:sz="4" w:space="0" w:color="000000"/>
            </w:tcBorders>
            <w:shd w:val="clear" w:color="auto" w:fill="FFFFFF"/>
            <w:vAlign w:val="bottom"/>
          </w:tcPr>
          <w:p w14:paraId="23E05D55" w14:textId="77777777" w:rsidR="002E5158" w:rsidRDefault="004D18E0">
            <w:pPr>
              <w:jc w:val="right"/>
            </w:pPr>
            <w:r>
              <w:t>3</w:t>
            </w:r>
          </w:p>
        </w:tc>
        <w:tc>
          <w:tcPr>
            <w:tcW w:w="4257" w:type="dxa"/>
            <w:tcBorders>
              <w:bottom w:val="single" w:sz="4" w:space="0" w:color="000000"/>
              <w:right w:val="single" w:sz="4" w:space="0" w:color="000000"/>
            </w:tcBorders>
            <w:shd w:val="clear" w:color="auto" w:fill="FFFFFF"/>
            <w:vAlign w:val="bottom"/>
          </w:tcPr>
          <w:p w14:paraId="71695A9F" w14:textId="184AEFE9" w:rsidR="002E5158" w:rsidRDefault="002E5158">
            <w:r>
              <w:t>Epo-liiva</w:t>
            </w:r>
            <w:r w:rsidR="00B55C54">
              <w:t xml:space="preserve"> tasandusmass</w:t>
            </w:r>
            <w:r>
              <w:t xml:space="preserve"> (vajadusel)</w:t>
            </w:r>
          </w:p>
        </w:tc>
        <w:tc>
          <w:tcPr>
            <w:tcW w:w="1154" w:type="dxa"/>
            <w:tcBorders>
              <w:bottom w:val="single" w:sz="4" w:space="0" w:color="000000"/>
              <w:right w:val="single" w:sz="4" w:space="0" w:color="000000"/>
            </w:tcBorders>
            <w:shd w:val="clear" w:color="auto" w:fill="FFFFFF"/>
            <w:vAlign w:val="bottom"/>
          </w:tcPr>
          <w:p w14:paraId="71C6704F" w14:textId="695A6D0D" w:rsidR="002E5158" w:rsidRDefault="00B55C54">
            <w:pPr>
              <w:jc w:val="center"/>
              <w:rPr>
                <w:vertAlign w:val="superscript"/>
              </w:rPr>
            </w:pPr>
            <w:r>
              <w:t>l</w:t>
            </w:r>
          </w:p>
        </w:tc>
        <w:tc>
          <w:tcPr>
            <w:tcW w:w="1248" w:type="dxa"/>
            <w:tcBorders>
              <w:bottom w:val="single" w:sz="4" w:space="0" w:color="000000"/>
              <w:right w:val="single" w:sz="4" w:space="0" w:color="000000"/>
            </w:tcBorders>
            <w:shd w:val="clear" w:color="auto" w:fill="FFFFFF"/>
            <w:vAlign w:val="bottom"/>
          </w:tcPr>
          <w:p w14:paraId="64CF6BED" w14:textId="2D7FF9DD" w:rsidR="002E5158" w:rsidRDefault="00B55C54">
            <w:pPr>
              <w:jc w:val="center"/>
            </w:pPr>
            <w:r>
              <w:t>10</w:t>
            </w:r>
          </w:p>
        </w:tc>
        <w:tc>
          <w:tcPr>
            <w:tcW w:w="1845" w:type="dxa"/>
            <w:tcBorders>
              <w:bottom w:val="single" w:sz="4" w:space="0" w:color="000000"/>
              <w:right w:val="single" w:sz="4" w:space="0" w:color="000000"/>
            </w:tcBorders>
            <w:shd w:val="clear" w:color="auto" w:fill="FFFFFF"/>
            <w:vAlign w:val="bottom"/>
          </w:tcPr>
          <w:p w14:paraId="046C4C3A" w14:textId="77777777" w:rsidR="002E5158" w:rsidRDefault="002E5158">
            <w:pPr>
              <w:jc w:val="right"/>
              <w:rPr>
                <w:sz w:val="20"/>
                <w:szCs w:val="20"/>
              </w:rPr>
            </w:pPr>
          </w:p>
        </w:tc>
      </w:tr>
      <w:tr w:rsidR="002E5158" w14:paraId="65F1EA7C" w14:textId="77777777" w:rsidTr="00B55C54">
        <w:trPr>
          <w:trHeight w:val="255"/>
        </w:trPr>
        <w:tc>
          <w:tcPr>
            <w:tcW w:w="847" w:type="dxa"/>
            <w:tcBorders>
              <w:left w:val="single" w:sz="4" w:space="0" w:color="000000"/>
              <w:bottom w:val="single" w:sz="4" w:space="0" w:color="000000"/>
              <w:right w:val="single" w:sz="4" w:space="0" w:color="000000"/>
            </w:tcBorders>
            <w:shd w:val="clear" w:color="auto" w:fill="FFFFFF"/>
            <w:vAlign w:val="bottom"/>
          </w:tcPr>
          <w:p w14:paraId="330195FE" w14:textId="77777777" w:rsidR="002E5158" w:rsidRDefault="002E5158">
            <w:pPr>
              <w:jc w:val="right"/>
            </w:pPr>
          </w:p>
        </w:tc>
        <w:tc>
          <w:tcPr>
            <w:tcW w:w="4257" w:type="dxa"/>
            <w:tcBorders>
              <w:bottom w:val="single" w:sz="4" w:space="0" w:color="000000"/>
              <w:right w:val="single" w:sz="4" w:space="0" w:color="000000"/>
            </w:tcBorders>
            <w:shd w:val="clear" w:color="auto" w:fill="FFFFFF"/>
            <w:vAlign w:val="bottom"/>
          </w:tcPr>
          <w:p w14:paraId="5EE3F0BC" w14:textId="77777777" w:rsidR="002E5158" w:rsidRDefault="002E5158"/>
        </w:tc>
        <w:tc>
          <w:tcPr>
            <w:tcW w:w="1154" w:type="dxa"/>
            <w:tcBorders>
              <w:bottom w:val="single" w:sz="4" w:space="0" w:color="000000"/>
              <w:right w:val="single" w:sz="4" w:space="0" w:color="000000"/>
            </w:tcBorders>
            <w:shd w:val="clear" w:color="auto" w:fill="FFFFFF"/>
            <w:vAlign w:val="bottom"/>
          </w:tcPr>
          <w:p w14:paraId="699756BA" w14:textId="77777777" w:rsidR="002E5158" w:rsidRDefault="002E5158">
            <w:pPr>
              <w:jc w:val="center"/>
            </w:pPr>
          </w:p>
        </w:tc>
        <w:tc>
          <w:tcPr>
            <w:tcW w:w="1248" w:type="dxa"/>
            <w:tcBorders>
              <w:bottom w:val="single" w:sz="4" w:space="0" w:color="000000"/>
              <w:right w:val="single" w:sz="4" w:space="0" w:color="000000"/>
            </w:tcBorders>
            <w:shd w:val="clear" w:color="auto" w:fill="FFFFFF"/>
            <w:vAlign w:val="bottom"/>
          </w:tcPr>
          <w:p w14:paraId="6DE71621" w14:textId="77777777" w:rsidR="002E5158" w:rsidRDefault="002E5158">
            <w:pPr>
              <w:jc w:val="center"/>
              <w:rPr>
                <w:shd w:val="clear" w:color="auto" w:fill="FFFF00"/>
              </w:rPr>
            </w:pPr>
          </w:p>
        </w:tc>
        <w:tc>
          <w:tcPr>
            <w:tcW w:w="1845" w:type="dxa"/>
            <w:tcBorders>
              <w:bottom w:val="single" w:sz="4" w:space="0" w:color="000000"/>
              <w:right w:val="single" w:sz="4" w:space="0" w:color="000000"/>
            </w:tcBorders>
            <w:shd w:val="clear" w:color="auto" w:fill="FFFFFF"/>
            <w:vAlign w:val="bottom"/>
          </w:tcPr>
          <w:p w14:paraId="5548D3CB" w14:textId="77777777" w:rsidR="002E5158" w:rsidRDefault="002E5158">
            <w:pPr>
              <w:jc w:val="right"/>
              <w:rPr>
                <w:sz w:val="20"/>
                <w:szCs w:val="20"/>
              </w:rPr>
            </w:pPr>
          </w:p>
        </w:tc>
      </w:tr>
      <w:tr w:rsidR="002E5158" w14:paraId="2C560C6F" w14:textId="77777777" w:rsidTr="00B55C54">
        <w:trPr>
          <w:trHeight w:val="255"/>
        </w:trPr>
        <w:tc>
          <w:tcPr>
            <w:tcW w:w="847" w:type="dxa"/>
            <w:tcBorders>
              <w:left w:val="single" w:sz="4" w:space="0" w:color="000000"/>
              <w:bottom w:val="single" w:sz="4" w:space="0" w:color="000000"/>
              <w:right w:val="single" w:sz="4" w:space="0" w:color="000000"/>
            </w:tcBorders>
            <w:shd w:val="clear" w:color="auto" w:fill="FFFFFF"/>
            <w:vAlign w:val="bottom"/>
          </w:tcPr>
          <w:p w14:paraId="0CBD8BCA" w14:textId="77777777" w:rsidR="002E5158" w:rsidRDefault="002E5158">
            <w:pPr>
              <w:rPr>
                <w:sz w:val="20"/>
                <w:szCs w:val="20"/>
              </w:rPr>
            </w:pPr>
            <w:r>
              <w:rPr>
                <w:sz w:val="20"/>
                <w:szCs w:val="20"/>
              </w:rPr>
              <w:t> </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14:paraId="5EA877B5" w14:textId="77777777" w:rsidR="002E5158" w:rsidRDefault="002E5158">
            <w:pPr>
              <w:jc w:val="right"/>
              <w:rPr>
                <w:b/>
              </w:rPr>
            </w:pPr>
            <w:r>
              <w:rPr>
                <w:b/>
              </w:rPr>
              <w:t>Kokku</w:t>
            </w:r>
          </w:p>
        </w:tc>
        <w:tc>
          <w:tcPr>
            <w:tcW w:w="1154" w:type="dxa"/>
            <w:tcBorders>
              <w:bottom w:val="single" w:sz="4" w:space="0" w:color="000000"/>
              <w:right w:val="single" w:sz="4" w:space="0" w:color="000000"/>
            </w:tcBorders>
            <w:shd w:val="clear" w:color="auto" w:fill="FFFFFF"/>
            <w:vAlign w:val="bottom"/>
          </w:tcPr>
          <w:p w14:paraId="000544DB" w14:textId="77777777" w:rsidR="002E5158" w:rsidRDefault="002E5158">
            <w:pPr>
              <w:jc w:val="center"/>
              <w:rPr>
                <w:sz w:val="20"/>
                <w:szCs w:val="20"/>
              </w:rPr>
            </w:pPr>
            <w:r>
              <w:rPr>
                <w:sz w:val="20"/>
                <w:szCs w:val="20"/>
              </w:rPr>
              <w:t> </w:t>
            </w:r>
          </w:p>
        </w:tc>
        <w:tc>
          <w:tcPr>
            <w:tcW w:w="1248" w:type="dxa"/>
            <w:tcBorders>
              <w:bottom w:val="single" w:sz="4" w:space="0" w:color="000000"/>
              <w:right w:val="single" w:sz="4" w:space="0" w:color="000000"/>
            </w:tcBorders>
            <w:shd w:val="clear" w:color="auto" w:fill="FFFFFF"/>
            <w:vAlign w:val="bottom"/>
          </w:tcPr>
          <w:p w14:paraId="652F40D3" w14:textId="77777777" w:rsidR="002E5158" w:rsidRDefault="002E5158">
            <w:pPr>
              <w:jc w:val="center"/>
              <w:rPr>
                <w:sz w:val="20"/>
                <w:szCs w:val="20"/>
              </w:rPr>
            </w:pPr>
          </w:p>
        </w:tc>
        <w:tc>
          <w:tcPr>
            <w:tcW w:w="1845" w:type="dxa"/>
            <w:tcBorders>
              <w:bottom w:val="single" w:sz="4" w:space="0" w:color="000000"/>
              <w:right w:val="single" w:sz="4" w:space="0" w:color="000000"/>
            </w:tcBorders>
            <w:shd w:val="clear" w:color="auto" w:fill="FFFFFF"/>
            <w:vAlign w:val="bottom"/>
          </w:tcPr>
          <w:p w14:paraId="60D6D27E" w14:textId="77777777" w:rsidR="002E5158" w:rsidRDefault="002E5158">
            <w:pPr>
              <w:jc w:val="right"/>
              <w:rPr>
                <w:sz w:val="20"/>
                <w:szCs w:val="20"/>
              </w:rPr>
            </w:pPr>
          </w:p>
        </w:tc>
      </w:tr>
      <w:tr w:rsidR="002E5158" w14:paraId="2BBA72A2" w14:textId="77777777" w:rsidTr="00B55C54">
        <w:trPr>
          <w:trHeight w:val="255"/>
        </w:trPr>
        <w:tc>
          <w:tcPr>
            <w:tcW w:w="847" w:type="dxa"/>
            <w:tcBorders>
              <w:left w:val="single" w:sz="4" w:space="0" w:color="000000"/>
              <w:bottom w:val="single" w:sz="4" w:space="0" w:color="000000"/>
              <w:right w:val="single" w:sz="4" w:space="0" w:color="000000"/>
            </w:tcBorders>
            <w:shd w:val="clear" w:color="auto" w:fill="FFFFFF"/>
            <w:vAlign w:val="bottom"/>
          </w:tcPr>
          <w:p w14:paraId="7C27BDEF" w14:textId="77777777" w:rsidR="002E5158" w:rsidRDefault="002E5158">
            <w:pPr>
              <w:rPr>
                <w:rFonts w:ascii="Arial" w:hAnsi="Arial" w:cs="Arial"/>
                <w:sz w:val="20"/>
                <w:szCs w:val="20"/>
              </w:rPr>
            </w:pPr>
            <w:r>
              <w:rPr>
                <w:rFonts w:ascii="Arial" w:hAnsi="Arial" w:cs="Arial"/>
                <w:sz w:val="20"/>
                <w:szCs w:val="20"/>
              </w:rPr>
              <w:t> </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14:paraId="1BAE8232" w14:textId="77777777" w:rsidR="002E5158" w:rsidRDefault="002E5158">
            <w:pPr>
              <w:jc w:val="right"/>
              <w:rPr>
                <w:b/>
              </w:rPr>
            </w:pPr>
            <w:r>
              <w:rPr>
                <w:b/>
              </w:rPr>
              <w:t>Käibemaks 20 %</w:t>
            </w:r>
          </w:p>
        </w:tc>
        <w:tc>
          <w:tcPr>
            <w:tcW w:w="1154" w:type="dxa"/>
            <w:tcBorders>
              <w:bottom w:val="single" w:sz="4" w:space="0" w:color="000000"/>
              <w:right w:val="single" w:sz="4" w:space="0" w:color="000000"/>
            </w:tcBorders>
            <w:shd w:val="clear" w:color="auto" w:fill="FFFFFF"/>
            <w:vAlign w:val="bottom"/>
          </w:tcPr>
          <w:p w14:paraId="10C5821F" w14:textId="77777777" w:rsidR="002E5158" w:rsidRDefault="002E5158">
            <w:pPr>
              <w:jc w:val="center"/>
              <w:rPr>
                <w:rFonts w:ascii="Arial" w:hAnsi="Arial" w:cs="Arial"/>
                <w:sz w:val="20"/>
                <w:szCs w:val="20"/>
              </w:rPr>
            </w:pPr>
            <w:r>
              <w:rPr>
                <w:rFonts w:ascii="Arial" w:hAnsi="Arial" w:cs="Arial"/>
                <w:sz w:val="20"/>
                <w:szCs w:val="20"/>
              </w:rPr>
              <w:t> </w:t>
            </w:r>
          </w:p>
        </w:tc>
        <w:tc>
          <w:tcPr>
            <w:tcW w:w="1248" w:type="dxa"/>
            <w:tcBorders>
              <w:bottom w:val="single" w:sz="4" w:space="0" w:color="000000"/>
              <w:right w:val="single" w:sz="4" w:space="0" w:color="000000"/>
            </w:tcBorders>
            <w:shd w:val="clear" w:color="auto" w:fill="FFFFFF"/>
            <w:vAlign w:val="bottom"/>
          </w:tcPr>
          <w:p w14:paraId="041D9D75" w14:textId="77777777" w:rsidR="002E5158" w:rsidRDefault="002E5158">
            <w:pPr>
              <w:jc w:val="right"/>
              <w:rPr>
                <w:rFonts w:ascii="Arial" w:hAnsi="Arial" w:cs="Arial"/>
                <w:sz w:val="20"/>
                <w:szCs w:val="20"/>
              </w:rPr>
            </w:pPr>
          </w:p>
        </w:tc>
        <w:tc>
          <w:tcPr>
            <w:tcW w:w="1845" w:type="dxa"/>
            <w:tcBorders>
              <w:bottom w:val="single" w:sz="4" w:space="0" w:color="000000"/>
              <w:right w:val="single" w:sz="4" w:space="0" w:color="000000"/>
            </w:tcBorders>
            <w:shd w:val="clear" w:color="auto" w:fill="FFFFFF"/>
            <w:vAlign w:val="bottom"/>
          </w:tcPr>
          <w:p w14:paraId="7F2E3BD6" w14:textId="77777777" w:rsidR="002E5158" w:rsidRDefault="002E5158">
            <w:pPr>
              <w:jc w:val="right"/>
              <w:rPr>
                <w:rFonts w:ascii="Arial" w:hAnsi="Arial" w:cs="Arial"/>
                <w:sz w:val="20"/>
                <w:szCs w:val="20"/>
              </w:rPr>
            </w:pPr>
          </w:p>
        </w:tc>
      </w:tr>
      <w:tr w:rsidR="002E5158" w14:paraId="7B0CE260" w14:textId="77777777" w:rsidTr="00B55C54">
        <w:trPr>
          <w:trHeight w:val="255"/>
        </w:trPr>
        <w:tc>
          <w:tcPr>
            <w:tcW w:w="847" w:type="dxa"/>
            <w:tcBorders>
              <w:left w:val="single" w:sz="4" w:space="0" w:color="000000"/>
              <w:bottom w:val="single" w:sz="4" w:space="0" w:color="000000"/>
              <w:right w:val="single" w:sz="4" w:space="0" w:color="000000"/>
            </w:tcBorders>
            <w:shd w:val="clear" w:color="auto" w:fill="FFFFFF"/>
            <w:vAlign w:val="bottom"/>
          </w:tcPr>
          <w:p w14:paraId="2ACC8E4A" w14:textId="77777777" w:rsidR="002E5158" w:rsidRDefault="002E5158">
            <w:pPr>
              <w:rPr>
                <w:rFonts w:ascii="Arial" w:hAnsi="Arial" w:cs="Arial"/>
                <w:sz w:val="20"/>
                <w:szCs w:val="20"/>
              </w:rPr>
            </w:pPr>
            <w:r>
              <w:rPr>
                <w:rFonts w:ascii="Arial" w:hAnsi="Arial" w:cs="Arial"/>
                <w:sz w:val="20"/>
                <w:szCs w:val="20"/>
              </w:rPr>
              <w:t> </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14:paraId="047B73C5" w14:textId="77777777" w:rsidR="002E5158" w:rsidRDefault="002E5158">
            <w:pPr>
              <w:jc w:val="right"/>
              <w:rPr>
                <w:b/>
              </w:rPr>
            </w:pPr>
            <w:r>
              <w:rPr>
                <w:b/>
              </w:rPr>
              <w:t>Kokku käibemaksuga</w:t>
            </w:r>
          </w:p>
        </w:tc>
        <w:tc>
          <w:tcPr>
            <w:tcW w:w="1154" w:type="dxa"/>
            <w:tcBorders>
              <w:bottom w:val="single" w:sz="4" w:space="0" w:color="000000"/>
              <w:right w:val="single" w:sz="4" w:space="0" w:color="000000"/>
            </w:tcBorders>
            <w:shd w:val="clear" w:color="auto" w:fill="FFFFFF"/>
            <w:vAlign w:val="bottom"/>
          </w:tcPr>
          <w:p w14:paraId="0F14F99A" w14:textId="77777777" w:rsidR="002E5158" w:rsidRDefault="002E5158">
            <w:pPr>
              <w:jc w:val="center"/>
              <w:rPr>
                <w:rFonts w:ascii="Arial" w:hAnsi="Arial" w:cs="Arial"/>
                <w:sz w:val="20"/>
                <w:szCs w:val="20"/>
              </w:rPr>
            </w:pPr>
            <w:r>
              <w:rPr>
                <w:rFonts w:ascii="Arial" w:hAnsi="Arial" w:cs="Arial"/>
                <w:sz w:val="20"/>
                <w:szCs w:val="20"/>
              </w:rPr>
              <w:t> </w:t>
            </w:r>
          </w:p>
        </w:tc>
        <w:tc>
          <w:tcPr>
            <w:tcW w:w="1248" w:type="dxa"/>
            <w:tcBorders>
              <w:bottom w:val="single" w:sz="4" w:space="0" w:color="000000"/>
              <w:right w:val="single" w:sz="4" w:space="0" w:color="000000"/>
            </w:tcBorders>
            <w:shd w:val="clear" w:color="auto" w:fill="FFFFFF"/>
            <w:vAlign w:val="bottom"/>
          </w:tcPr>
          <w:p w14:paraId="32B842CB" w14:textId="77777777" w:rsidR="002E5158" w:rsidRDefault="002E5158">
            <w:pPr>
              <w:jc w:val="right"/>
              <w:rPr>
                <w:rFonts w:ascii="Arial" w:hAnsi="Arial" w:cs="Arial"/>
                <w:sz w:val="20"/>
                <w:szCs w:val="20"/>
              </w:rPr>
            </w:pPr>
          </w:p>
        </w:tc>
        <w:tc>
          <w:tcPr>
            <w:tcW w:w="1845" w:type="dxa"/>
            <w:tcBorders>
              <w:bottom w:val="single" w:sz="4" w:space="0" w:color="000000"/>
              <w:right w:val="single" w:sz="4" w:space="0" w:color="000000"/>
            </w:tcBorders>
            <w:shd w:val="clear" w:color="auto" w:fill="FFFFFF"/>
            <w:vAlign w:val="bottom"/>
          </w:tcPr>
          <w:p w14:paraId="61E721E9" w14:textId="77777777" w:rsidR="002E5158" w:rsidRDefault="002E5158">
            <w:pPr>
              <w:jc w:val="right"/>
              <w:rPr>
                <w:rFonts w:ascii="Arial" w:hAnsi="Arial" w:cs="Arial"/>
                <w:sz w:val="20"/>
                <w:szCs w:val="20"/>
              </w:rPr>
            </w:pPr>
          </w:p>
        </w:tc>
      </w:tr>
    </w:tbl>
    <w:p w14:paraId="38556AF2" w14:textId="77777777" w:rsidR="002E5158" w:rsidRDefault="002E5158"/>
    <w:p w14:paraId="3FF4994F" w14:textId="77777777" w:rsidR="002E5158" w:rsidRDefault="002E5158">
      <w:r>
        <w:t>Tööde eest tasumine toimub peale tööde üleandmis-vastuvõtmisakti vormistamist ja allkirjastamist mõlema osapoole esindaja poolt. Üleandmise-vastuvõtmise akti vormistab pakkuja. Poolte esindajate poolt allkirjastatud üleandmise-vastuvõtmise akt on aluseks arve väljastamisele. Arve tasumise tähtaeg on 30 päeva.</w:t>
      </w:r>
    </w:p>
    <w:p w14:paraId="25AA4BE9" w14:textId="77777777" w:rsidR="002E5158" w:rsidRDefault="002E5158">
      <w:pPr>
        <w:jc w:val="both"/>
      </w:pPr>
    </w:p>
    <w:p w14:paraId="112EE5D1" w14:textId="77777777" w:rsidR="002E5158" w:rsidRDefault="002E5158">
      <w:pPr>
        <w:jc w:val="both"/>
      </w:pPr>
      <w:r>
        <w:t>Pakkujate pakkumused peavad olema jõus vähemalt 60 kalendripäeva arvestatuna pakkumuste esitamise tähtpäevast.</w:t>
      </w:r>
    </w:p>
    <w:p w14:paraId="4F3330EE" w14:textId="77777777" w:rsidR="002E5158" w:rsidRDefault="002E5158">
      <w:pPr>
        <w:jc w:val="both"/>
      </w:pPr>
    </w:p>
    <w:p w14:paraId="79E90887" w14:textId="5EBDF4F9" w:rsidR="002E5158" w:rsidRDefault="002E5158">
      <w:pPr>
        <w:jc w:val="both"/>
      </w:pPr>
      <w:r>
        <w:t>Pakkumuse esitamisega pakkuja kinnitab, et pakkumus vastab kõikidele käesolevast pakkumuse esitamise ettepanekust tulenevatele tingimustele ning et ta nõustub kõikide käesolevast dokumendist tulenevate tingimustega.</w:t>
      </w:r>
    </w:p>
    <w:p w14:paraId="386BEF31" w14:textId="69F52C19" w:rsidR="00B55C54" w:rsidRDefault="00B55C54">
      <w:pPr>
        <w:jc w:val="both"/>
      </w:pPr>
    </w:p>
    <w:p w14:paraId="70F4E702" w14:textId="77777777" w:rsidR="00B55C54" w:rsidRDefault="00B55C54" w:rsidP="00B55C54">
      <w:pPr>
        <w:jc w:val="both"/>
      </w:pPr>
      <w:r>
        <w:t>Tööde teostamisel arvestada haigla pideva tööprotsessiga. Pakkuja peab olema valmist töid teostama puhkepäevadel.</w:t>
      </w:r>
    </w:p>
    <w:p w14:paraId="7DA9A1BB" w14:textId="2F018E96" w:rsidR="00B55C54" w:rsidRDefault="00B55C54">
      <w:pPr>
        <w:jc w:val="both"/>
      </w:pPr>
      <w:bookmarkStart w:id="0" w:name="_GoBack"/>
      <w:bookmarkEnd w:id="0"/>
    </w:p>
    <w:p w14:paraId="69C7D547" w14:textId="77777777" w:rsidR="00B55C54" w:rsidRDefault="00B55C54">
      <w:pPr>
        <w:jc w:val="both"/>
      </w:pPr>
    </w:p>
    <w:p w14:paraId="7BF91CB9" w14:textId="77777777" w:rsidR="002E5158" w:rsidRDefault="002E5158">
      <w:pPr>
        <w:jc w:val="both"/>
      </w:pPr>
    </w:p>
    <w:p w14:paraId="1ECFE4D0" w14:textId="77777777" w:rsidR="002E5158" w:rsidRDefault="002E5158">
      <w:pPr>
        <w:jc w:val="both"/>
      </w:pPr>
      <w:r>
        <w:t>Ametinimetus:</w:t>
      </w:r>
      <w:r>
        <w:tab/>
        <w:t>___________________</w:t>
      </w:r>
    </w:p>
    <w:p w14:paraId="2889BFED" w14:textId="77777777" w:rsidR="002E5158" w:rsidRDefault="002E5158">
      <w:pPr>
        <w:jc w:val="both"/>
      </w:pPr>
    </w:p>
    <w:p w14:paraId="4794C20F" w14:textId="77777777" w:rsidR="002E5158" w:rsidRDefault="002E5158">
      <w:pPr>
        <w:rPr>
          <w:sz w:val="22"/>
          <w:szCs w:val="22"/>
        </w:rPr>
      </w:pPr>
      <w:r>
        <w:rPr>
          <w:sz w:val="22"/>
          <w:szCs w:val="22"/>
        </w:rPr>
        <w:t>Pakkumuse koostaja kinnitab esitatud andmete õigsust (nimi ja allkiri):______________</w:t>
      </w:r>
    </w:p>
    <w:p w14:paraId="30E5A6EC" w14:textId="77777777" w:rsidR="002E5158" w:rsidRDefault="002E5158">
      <w:pPr>
        <w:rPr>
          <w:sz w:val="22"/>
          <w:szCs w:val="22"/>
        </w:rPr>
      </w:pPr>
      <w:r>
        <w:rPr>
          <w:sz w:val="22"/>
          <w:szCs w:val="22"/>
        </w:rPr>
        <w:t xml:space="preserve"> /allkirjastatud digitaalselt/</w:t>
      </w:r>
    </w:p>
    <w:p w14:paraId="75416DAB" w14:textId="77777777" w:rsidR="002E5158" w:rsidRDefault="002E5158">
      <w:pPr>
        <w:pStyle w:val="Title"/>
        <w:jc w:val="left"/>
        <w:rPr>
          <w:b w:val="0"/>
          <w:sz w:val="24"/>
          <w:szCs w:val="24"/>
        </w:rPr>
      </w:pPr>
    </w:p>
    <w:p w14:paraId="6A193354" w14:textId="77777777" w:rsidR="002E5158" w:rsidRDefault="002E5158">
      <w:pPr>
        <w:pStyle w:val="Title"/>
        <w:jc w:val="left"/>
        <w:rPr>
          <w:b w:val="0"/>
          <w:sz w:val="24"/>
          <w:szCs w:val="24"/>
        </w:rPr>
      </w:pPr>
      <w:r>
        <w:rPr>
          <w:b w:val="0"/>
          <w:sz w:val="24"/>
          <w:szCs w:val="24"/>
        </w:rPr>
        <w:t>Allkirjastamise kuupäevaks loetakse digitaalallkirja kuupäeva.</w:t>
      </w:r>
    </w:p>
    <w:sectPr w:rsidR="002E5158">
      <w:pgSz w:w="12240" w:h="15840"/>
      <w:pgMar w:top="1440" w:right="1440" w:bottom="1440" w:left="1440" w:header="708" w:footer="708" w:gutter="0"/>
      <w:cols w:space="708"/>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8E0"/>
    <w:rsid w:val="002E5158"/>
    <w:rsid w:val="004D18E0"/>
    <w:rsid w:val="00B55C54"/>
    <w:rsid w:val="00F43678"/>
    <w:rsid w:val="00FD5D6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4A8BE4"/>
  <w15:chartTrackingRefBased/>
  <w15:docId w15:val="{8ADEE5D2-C466-4C39-8A2F-25078F72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TitleChar">
    <w:name w:val="Title Char"/>
    <w:basedOn w:val="DefaultParagraphFont1"/>
    <w:rPr>
      <w:rFonts w:ascii="Times New Roman" w:hAnsi="Times New Roman" w:cs="Times New Roman"/>
      <w:b/>
      <w:bCs/>
      <w:sz w:val="28"/>
      <w:szCs w:val="28"/>
      <w:lang w:val="et-EE"/>
    </w:rPr>
  </w:style>
  <w:style w:type="character" w:styleId="Hyperlink">
    <w:name w:val="Hyperlink"/>
    <w:basedOn w:val="DefaultParagraphFont1"/>
    <w:rPr>
      <w:color w:val="0563C1"/>
      <w:u w:val="single"/>
    </w:rPr>
  </w:style>
  <w:style w:type="character" w:customStyle="1" w:styleId="CommentReference1">
    <w:name w:val="Comment Reference1"/>
    <w:basedOn w:val="DefaultParagraphFont1"/>
    <w:rPr>
      <w:sz w:val="16"/>
      <w:szCs w:val="16"/>
    </w:rPr>
  </w:style>
  <w:style w:type="character" w:customStyle="1" w:styleId="CommentTextChar">
    <w:name w:val="Comment Text Char"/>
    <w:basedOn w:val="DefaultParagraphFont1"/>
    <w:rPr>
      <w:rFonts w:ascii="Times New Roman" w:eastAsia="Times New Roman" w:hAnsi="Times New Roman" w:cs="Times New Roman"/>
      <w:sz w:val="20"/>
      <w:szCs w:val="20"/>
      <w:lang w:val="et-EE"/>
    </w:rPr>
  </w:style>
  <w:style w:type="character" w:customStyle="1" w:styleId="BalloonTextChar">
    <w:name w:val="Balloon Text Char"/>
    <w:basedOn w:val="DefaultParagraphFont1"/>
    <w:rPr>
      <w:rFonts w:ascii="Segoe UI" w:eastAsia="Times New Roman" w:hAnsi="Segoe UI" w:cs="Segoe UI"/>
      <w:sz w:val="18"/>
      <w:szCs w:val="18"/>
      <w:lang w:val="et-EE"/>
    </w:rPr>
  </w:style>
  <w:style w:type="character" w:customStyle="1" w:styleId="CommentSubjectChar">
    <w:name w:val="Comment Subject Char"/>
    <w:basedOn w:val="CommentTextChar"/>
    <w:rPr>
      <w:rFonts w:ascii="Times New Roman" w:eastAsia="Times New Roman" w:hAnsi="Times New Roman" w:cs="Times New Roman"/>
      <w:b/>
      <w:bCs/>
      <w:sz w:val="20"/>
      <w:szCs w:val="20"/>
      <w:lang w:val="et-EE"/>
    </w:rPr>
  </w:style>
  <w:style w:type="character" w:customStyle="1" w:styleId="HeaderChar">
    <w:name w:val="Header Char"/>
    <w:basedOn w:val="DefaultParagraphFont1"/>
    <w:rPr>
      <w:rFonts w:ascii="Times New Roman" w:eastAsia="Times New Roman" w:hAnsi="Times New Roman" w:cs="Times New Roman"/>
      <w:sz w:val="24"/>
      <w:szCs w:val="24"/>
      <w:lang w:val="et-EE"/>
    </w:rPr>
  </w:style>
  <w:style w:type="character" w:customStyle="1" w:styleId="FooterChar">
    <w:name w:val="Footer Char"/>
    <w:basedOn w:val="DefaultParagraphFont1"/>
    <w:rPr>
      <w:rFonts w:ascii="Times New Roman" w:eastAsia="Times New Roman" w:hAnsi="Times New Roman" w:cs="Times New Roman"/>
      <w:sz w:val="24"/>
      <w:szCs w:val="24"/>
      <w:lang w:val="et-EE"/>
    </w:rPr>
  </w:style>
  <w:style w:type="character" w:customStyle="1" w:styleId="ListLabel1">
    <w:name w:val="ListLabel 1"/>
    <w:rPr>
      <w:b w:val="0"/>
    </w:rPr>
  </w:style>
  <w:style w:type="character" w:customStyle="1" w:styleId="ListLabel2">
    <w:name w:val="ListLabel 2"/>
    <w:rPr>
      <w:rFonts w:cs="Courier New"/>
    </w:rPr>
  </w:style>
  <w:style w:type="paragraph" w:customStyle="1" w:styleId="Pealkiri">
    <w:name w:val="Pealkiri"/>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customStyle="1" w:styleId="Pealdis1">
    <w:name w:val="Pealdis1"/>
    <w:basedOn w:val="Normal"/>
    <w:pPr>
      <w:suppressLineNumbers/>
      <w:spacing w:before="120" w:after="120"/>
    </w:pPr>
    <w:rPr>
      <w:rFonts w:cs="Lucida Sans"/>
      <w:i/>
      <w:iCs/>
    </w:rPr>
  </w:style>
  <w:style w:type="paragraph" w:customStyle="1" w:styleId="Register">
    <w:name w:val="Register"/>
    <w:basedOn w:val="Normal"/>
    <w:pPr>
      <w:suppressLineNumbers/>
    </w:pPr>
    <w:rPr>
      <w:rFonts w:cs="Lucida Sans"/>
    </w:rPr>
  </w:style>
  <w:style w:type="paragraph" w:customStyle="1" w:styleId="Caption1">
    <w:name w:val="Caption1"/>
    <w:basedOn w:val="Normal"/>
    <w:pPr>
      <w:spacing w:after="200"/>
    </w:pPr>
    <w:rPr>
      <w:rFonts w:ascii="Calibri" w:hAnsi="Calibri" w:cs="Calibri"/>
      <w:i/>
      <w:iCs/>
      <w:color w:val="44546A"/>
      <w:sz w:val="18"/>
      <w:szCs w:val="18"/>
    </w:rPr>
  </w:style>
  <w:style w:type="paragraph" w:styleId="Title">
    <w:name w:val="Title"/>
    <w:basedOn w:val="Normal"/>
    <w:next w:val="Subtitle"/>
    <w:qFormat/>
    <w:pPr>
      <w:jc w:val="center"/>
    </w:pPr>
    <w:rPr>
      <w:rFonts w:cs="Calibri"/>
      <w:b/>
      <w:bCs/>
      <w:sz w:val="28"/>
      <w:szCs w:val="28"/>
    </w:rPr>
  </w:style>
  <w:style w:type="paragraph" w:styleId="Subtitle">
    <w:name w:val="Subtitle"/>
    <w:basedOn w:val="Pealkiri"/>
    <w:next w:val="BodyText"/>
    <w:qFormat/>
    <w:pPr>
      <w:jc w:val="center"/>
    </w:pPr>
    <w:rPr>
      <w:i/>
      <w:iCs/>
    </w:rPr>
  </w:style>
  <w:style w:type="paragraph" w:customStyle="1" w:styleId="CommentText1">
    <w:name w:val="Comment Text1"/>
    <w:basedOn w:val="Normal"/>
    <w:rPr>
      <w:sz w:val="20"/>
      <w:szCs w:val="20"/>
    </w:rPr>
  </w:style>
  <w:style w:type="paragraph" w:customStyle="1" w:styleId="BalloonText1">
    <w:name w:val="Balloon Text1"/>
    <w:basedOn w:val="Normal"/>
    <w:rPr>
      <w:rFonts w:ascii="Segoe UI" w:hAnsi="Segoe UI" w:cs="Segoe UI"/>
      <w:sz w:val="18"/>
      <w:szCs w:val="18"/>
    </w:rPr>
  </w:style>
  <w:style w:type="paragraph" w:customStyle="1" w:styleId="CommentSubject1">
    <w:name w:val="Comment Subject1"/>
    <w:basedOn w:val="CommentText1"/>
    <w:rPr>
      <w:b/>
      <w:bCs/>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igla@jmh.ee" TargetMode="External"/><Relationship Id="rId3" Type="http://schemas.openxmlformats.org/officeDocument/2006/relationships/customXml" Target="../customXml/item3.xml"/><Relationship Id="rId7" Type="http://schemas.openxmlformats.org/officeDocument/2006/relationships/hyperlink" Target="mailto:haigla@jmh.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jmh.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A6CE8565CB344393B8937B15233687" ma:contentTypeVersion="12" ma:contentTypeDescription="Create a new document." ma:contentTypeScope="" ma:versionID="9143609f8777607fa87a13d2732385ff">
  <xsd:schema xmlns:xsd="http://www.w3.org/2001/XMLSchema" xmlns:xs="http://www.w3.org/2001/XMLSchema" xmlns:p="http://schemas.microsoft.com/office/2006/metadata/properties" xmlns:ns3="d3db763c-6f13-437d-be94-86487e50383b" xmlns:ns4="69162fb3-ab76-467a-9bd5-f6e50a39d9fc" targetNamespace="http://schemas.microsoft.com/office/2006/metadata/properties" ma:root="true" ma:fieldsID="6d76e2d01eda5da5c3122d23e722afba" ns3:_="" ns4:_="">
    <xsd:import namespace="d3db763c-6f13-437d-be94-86487e50383b"/>
    <xsd:import namespace="69162fb3-ab76-467a-9bd5-f6e50a39d9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b763c-6f13-437d-be94-86487e503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162fb3-ab76-467a-9bd5-f6e50a39d9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9A222-94D8-43BD-B591-FD21D42665A0}">
  <ds:schemaRefs>
    <ds:schemaRef ds:uri="http://purl.org/dc/dcmitype/"/>
    <ds:schemaRef ds:uri="http://schemas.microsoft.com/office/2006/documentManagement/types"/>
    <ds:schemaRef ds:uri="http://purl.org/dc/elements/1.1/"/>
    <ds:schemaRef ds:uri="http://schemas.microsoft.com/office/2006/metadata/properties"/>
    <ds:schemaRef ds:uri="d3db763c-6f13-437d-be94-86487e50383b"/>
    <ds:schemaRef ds:uri="http://purl.org/dc/terms/"/>
    <ds:schemaRef ds:uri="http://schemas.openxmlformats.org/package/2006/metadata/core-properties"/>
    <ds:schemaRef ds:uri="69162fb3-ab76-467a-9bd5-f6e50a39d9fc"/>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43A2C8F-93F3-4EAA-AB82-DF482B35EF89}">
  <ds:schemaRefs>
    <ds:schemaRef ds:uri="http://schemas.microsoft.com/sharepoint/v3/contenttype/forms"/>
  </ds:schemaRefs>
</ds:datastoreItem>
</file>

<file path=customXml/itemProps3.xml><?xml version="1.0" encoding="utf-8"?>
<ds:datastoreItem xmlns:ds="http://schemas.openxmlformats.org/officeDocument/2006/customXml" ds:itemID="{25FE338C-E92B-4415-AFF2-2048713A4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b763c-6f13-437d-be94-86487e50383b"/>
    <ds:schemaRef ds:uri="69162fb3-ab76-467a-9bd5-f6e50a39d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602</Words>
  <Characters>3498</Characters>
  <DocSecurity>0</DocSecurity>
  <Lines>29</Lines>
  <Paragraphs>8</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LinksUpToDate>false</LinksUpToDate>
  <CharactersWithSpaces>4092</CharactersWithSpaces>
  <SharedDoc>false</SharedDoc>
  <HLinks>
    <vt:vector size="18" baseType="variant">
      <vt:variant>
        <vt:i4>6488182</vt:i4>
      </vt:variant>
      <vt:variant>
        <vt:i4>6</vt:i4>
      </vt:variant>
      <vt:variant>
        <vt:i4>0</vt:i4>
      </vt:variant>
      <vt:variant>
        <vt:i4>5</vt:i4>
      </vt:variant>
      <vt:variant>
        <vt:lpwstr>http://www.jmh.ee/</vt:lpwstr>
      </vt:variant>
      <vt:variant>
        <vt:lpwstr/>
      </vt:variant>
      <vt:variant>
        <vt:i4>6881354</vt:i4>
      </vt:variant>
      <vt:variant>
        <vt:i4>3</vt:i4>
      </vt:variant>
      <vt:variant>
        <vt:i4>0</vt:i4>
      </vt:variant>
      <vt:variant>
        <vt:i4>5</vt:i4>
      </vt:variant>
      <vt:variant>
        <vt:lpwstr>mailto:haigla@jmh.ee</vt:lpwstr>
      </vt:variant>
      <vt:variant>
        <vt:lpwstr/>
      </vt:variant>
      <vt:variant>
        <vt:i4>6881354</vt:i4>
      </vt:variant>
      <vt:variant>
        <vt:i4>0</vt:i4>
      </vt:variant>
      <vt:variant>
        <vt:i4>0</vt:i4>
      </vt:variant>
      <vt:variant>
        <vt:i4>5</vt:i4>
      </vt:variant>
      <vt:variant>
        <vt:lpwstr>mailto:haigla@jmh.ee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1899-12-31T22:00:00Z</cp:lastPrinted>
  <dcterms:created xsi:type="dcterms:W3CDTF">2021-06-14T11:27:00Z</dcterms:created>
  <dcterms:modified xsi:type="dcterms:W3CDTF">2021-06-15T06:46:00Z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SC1511</vt:lpwstr>
  </property>
  <property fmtid="{D5CDD505-2E9C-101B-9397-08002B2CF9AE}" pid="4" name="ContentTypeId">
    <vt:lpwstr>0x010100FCA6CE8565CB344393B8937B15233687</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