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8B324" w14:textId="12D2F90F" w:rsidR="0091086E" w:rsidRPr="0091086E" w:rsidRDefault="0091086E" w:rsidP="000F69FB">
      <w:pPr>
        <w:rPr>
          <w:b/>
        </w:rPr>
      </w:pPr>
      <w:r w:rsidRPr="0091086E">
        <w:rPr>
          <w:b/>
        </w:rPr>
        <w:t>Hankedokument</w:t>
      </w:r>
    </w:p>
    <w:p w14:paraId="42A97DBB" w14:textId="77777777" w:rsidR="0091086E" w:rsidRDefault="0091086E" w:rsidP="000F69FB"/>
    <w:p w14:paraId="70475AFB" w14:textId="4CC62EDC" w:rsidR="000F69FB" w:rsidRPr="0091086E" w:rsidRDefault="0091086E" w:rsidP="000F69FB">
      <w:pPr>
        <w:rPr>
          <w:b/>
        </w:rPr>
      </w:pPr>
      <w:r>
        <w:t xml:space="preserve">Hankija: </w:t>
      </w:r>
      <w:r w:rsidR="000F69FB" w:rsidRPr="0091086E">
        <w:rPr>
          <w:b/>
        </w:rPr>
        <w:t xml:space="preserve">Aktsiaselts </w:t>
      </w:r>
      <w:r w:rsidR="000E2F27">
        <w:rPr>
          <w:b/>
        </w:rPr>
        <w:t>Järvamaa</w:t>
      </w:r>
      <w:r w:rsidR="000F69FB" w:rsidRPr="0091086E">
        <w:rPr>
          <w:b/>
        </w:rPr>
        <w:t xml:space="preserve"> Haigla</w:t>
      </w:r>
    </w:p>
    <w:p w14:paraId="7C7A32C3" w14:textId="4A63FF4E" w:rsidR="000F69FB" w:rsidRPr="0091086E" w:rsidRDefault="0091086E" w:rsidP="000F69FB">
      <w:pPr>
        <w:rPr>
          <w:b/>
        </w:rPr>
      </w:pPr>
      <w:r>
        <w:t xml:space="preserve">Hanke nimetus: </w:t>
      </w:r>
      <w:r w:rsidR="000F69FB" w:rsidRPr="0091086E">
        <w:rPr>
          <w:b/>
        </w:rPr>
        <w:t>„</w:t>
      </w:r>
      <w:r w:rsidR="000667E7" w:rsidRPr="000667E7">
        <w:rPr>
          <w:b/>
        </w:rPr>
        <w:t>Silma optili</w:t>
      </w:r>
      <w:r w:rsidR="000667E7">
        <w:rPr>
          <w:b/>
        </w:rPr>
        <w:t>s</w:t>
      </w:r>
      <w:r w:rsidR="000667E7" w:rsidRPr="000667E7">
        <w:rPr>
          <w:b/>
        </w:rPr>
        <w:t>e koherents-tomograaf</w:t>
      </w:r>
      <w:r w:rsidR="000667E7">
        <w:rPr>
          <w:b/>
        </w:rPr>
        <w:t xml:space="preserve">i </w:t>
      </w:r>
      <w:r w:rsidR="00352735">
        <w:rPr>
          <w:b/>
        </w:rPr>
        <w:t>ostmine</w:t>
      </w:r>
      <w:r w:rsidR="000F69FB" w:rsidRPr="0091086E">
        <w:rPr>
          <w:b/>
        </w:rPr>
        <w:t>“</w:t>
      </w:r>
    </w:p>
    <w:p w14:paraId="76FA4C1C" w14:textId="77777777" w:rsidR="000F69FB" w:rsidRDefault="000F69FB" w:rsidP="000F69FB">
      <w:pPr>
        <w:tabs>
          <w:tab w:val="left" w:pos="7938"/>
        </w:tabs>
      </w:pPr>
    </w:p>
    <w:p w14:paraId="7B46D650" w14:textId="66E6518D" w:rsidR="000F69FB" w:rsidRDefault="00730447" w:rsidP="000F69FB">
      <w:pPr>
        <w:tabs>
          <w:tab w:val="left" w:pos="7938"/>
        </w:tabs>
        <w:jc w:val="both"/>
        <w:rPr>
          <w:b/>
          <w:bCs/>
        </w:rPr>
      </w:pPr>
      <w:r>
        <w:rPr>
          <w:b/>
          <w:bCs/>
        </w:rPr>
        <w:t>Hanke tehnilin</w:t>
      </w:r>
      <w:r w:rsidR="000F69FB">
        <w:rPr>
          <w:b/>
          <w:bCs/>
        </w:rPr>
        <w:t xml:space="preserve">e </w:t>
      </w:r>
      <w:r>
        <w:rPr>
          <w:b/>
          <w:bCs/>
        </w:rPr>
        <w:t>kirjeldus</w:t>
      </w:r>
      <w:r w:rsidR="000F69FB">
        <w:rPr>
          <w:b/>
          <w:bCs/>
        </w:rPr>
        <w:t xml:space="preserve">, pakkumusevorm ja Pakkuja </w:t>
      </w:r>
      <w:r w:rsidR="000F69FB" w:rsidRPr="005870D4">
        <w:rPr>
          <w:b/>
        </w:rPr>
        <w:t>.......................................</w:t>
      </w:r>
      <w:r w:rsidR="000F69FB">
        <w:rPr>
          <w:b/>
        </w:rPr>
        <w:t xml:space="preserve"> </w:t>
      </w:r>
      <w:r w:rsidR="000F69FB">
        <w:rPr>
          <w:b/>
          <w:bCs/>
        </w:rPr>
        <w:t>kinnitused, et Pakkumus vastab Hankija poolt</w:t>
      </w:r>
      <w:r w:rsidR="005870D4">
        <w:rPr>
          <w:b/>
          <w:bCs/>
        </w:rPr>
        <w:t xml:space="preserve"> käesolevas dokumendis</w:t>
      </w:r>
      <w:r w:rsidR="000F69FB">
        <w:rPr>
          <w:b/>
          <w:bCs/>
        </w:rPr>
        <w:t xml:space="preserve"> esitatud tingimustele</w:t>
      </w:r>
      <w:r w:rsidR="005870D4">
        <w:rPr>
          <w:b/>
          <w:bCs/>
        </w:rPr>
        <w:t>.</w:t>
      </w:r>
    </w:p>
    <w:p w14:paraId="4B064658" w14:textId="77777777" w:rsidR="0091086E" w:rsidRDefault="0091086E" w:rsidP="000F69FB">
      <w:pPr>
        <w:tabs>
          <w:tab w:val="left" w:pos="7938"/>
        </w:tabs>
        <w:jc w:val="both"/>
        <w:rPr>
          <w:b/>
          <w:bCs/>
        </w:rPr>
      </w:pPr>
    </w:p>
    <w:p w14:paraId="6DFAFBC0" w14:textId="11C58AA8" w:rsidR="00E0095E" w:rsidRDefault="005870D4" w:rsidP="000F69FB">
      <w:pPr>
        <w:tabs>
          <w:tab w:val="left" w:pos="7938"/>
        </w:tabs>
        <w:jc w:val="both"/>
      </w:pPr>
      <w:r w:rsidRPr="006761D3">
        <w:t xml:space="preserve">Aktsiaselts </w:t>
      </w:r>
      <w:r w:rsidR="000E2F27">
        <w:t>Järvamaa</w:t>
      </w:r>
      <w:r w:rsidRPr="006761D3">
        <w:t xml:space="preserve"> Haigla kutsub kõiki hankest huvitatud isikuid ja võimalikke pakkujaid osalema </w:t>
      </w:r>
      <w:r w:rsidR="000E2F27">
        <w:t>alla lihthanke piirmäära jääval riigi</w:t>
      </w:r>
      <w:r w:rsidRPr="006761D3">
        <w:t>hankel „</w:t>
      </w:r>
      <w:r w:rsidR="000667E7" w:rsidRPr="000667E7">
        <w:t>Silma optili</w:t>
      </w:r>
      <w:r w:rsidR="000667E7">
        <w:t>s</w:t>
      </w:r>
      <w:r w:rsidR="000667E7" w:rsidRPr="000667E7">
        <w:t>e koherents-tomograaf</w:t>
      </w:r>
      <w:r w:rsidR="000667E7">
        <w:t>i</w:t>
      </w:r>
      <w:r w:rsidR="00EB77FA">
        <w:t xml:space="preserve"> ostmine</w:t>
      </w:r>
      <w:r w:rsidR="00C53AD8">
        <w:t xml:space="preserve">“, </w:t>
      </w:r>
      <w:r w:rsidR="00C53AD8" w:rsidRPr="00C53AD8">
        <w:t>millise objektiks on käesolevatest tehnilisest tingimustest tulenevatele nõuetele vastava</w:t>
      </w:r>
      <w:r w:rsidR="00C7511A">
        <w:t xml:space="preserve"> ühe</w:t>
      </w:r>
      <w:r w:rsidR="00B56D63">
        <w:t xml:space="preserve"> </w:t>
      </w:r>
      <w:r w:rsidR="000667E7">
        <w:t>s</w:t>
      </w:r>
      <w:r w:rsidR="000667E7" w:rsidRPr="000667E7">
        <w:t>ilma optili</w:t>
      </w:r>
      <w:r w:rsidR="000667E7">
        <w:t>s</w:t>
      </w:r>
      <w:r w:rsidR="000667E7" w:rsidRPr="000667E7">
        <w:t>e koherents-tomograaf</w:t>
      </w:r>
      <w:r w:rsidR="000667E7">
        <w:t xml:space="preserve">i </w:t>
      </w:r>
      <w:r w:rsidR="00C53AD8" w:rsidRPr="00C53AD8">
        <w:t xml:space="preserve">soetamine </w:t>
      </w:r>
      <w:r w:rsidR="00C53AD8" w:rsidRPr="00255AC5">
        <w:t>koos</w:t>
      </w:r>
      <w:r w:rsidR="00255AC5" w:rsidRPr="00255AC5">
        <w:t xml:space="preserve"> paigalduse ja</w:t>
      </w:r>
      <w:r w:rsidR="00C53AD8" w:rsidRPr="00255AC5">
        <w:t xml:space="preserve"> kasutajakoolituse</w:t>
      </w:r>
      <w:r w:rsidR="00500180" w:rsidRPr="00255AC5">
        <w:t>ga</w:t>
      </w:r>
      <w:r w:rsidR="00C53AD8" w:rsidRPr="00255AC5">
        <w:t>. Hankeobjektiks oleva seadme tehnilise kirjelduse</w:t>
      </w:r>
      <w:r w:rsidR="00C53AD8" w:rsidRPr="00C53AD8">
        <w:t xml:space="preserve"> ning hankelepingu oluliste tingimustega palume tutvuda käesolevas</w:t>
      </w:r>
      <w:r w:rsidR="00500180">
        <w:t xml:space="preserve"> hankedokumendis</w:t>
      </w:r>
      <w:r w:rsidR="00C53AD8" w:rsidRPr="00C53AD8">
        <w:t>.</w:t>
      </w:r>
    </w:p>
    <w:p w14:paraId="2B0A20D5" w14:textId="77777777" w:rsidR="00F826FD" w:rsidRDefault="00F826FD" w:rsidP="000F69FB">
      <w:pPr>
        <w:tabs>
          <w:tab w:val="left" w:pos="7938"/>
        </w:tabs>
        <w:jc w:val="both"/>
      </w:pPr>
    </w:p>
    <w:p w14:paraId="69942E9A" w14:textId="1AA6F537" w:rsidR="005870D4" w:rsidRDefault="005870D4" w:rsidP="005870D4">
      <w:pPr>
        <w:tabs>
          <w:tab w:val="left" w:pos="7938"/>
        </w:tabs>
        <w:jc w:val="both"/>
      </w:pPr>
      <w:r w:rsidRPr="006761D3">
        <w:t xml:space="preserve">Pakkumused tuleb esitada elektronposti </w:t>
      </w:r>
      <w:r w:rsidRPr="00CE2354">
        <w:t>teel</w:t>
      </w:r>
      <w:r w:rsidRPr="00CE2354">
        <w:rPr>
          <w:b/>
        </w:rPr>
        <w:t xml:space="preserve"> hiljemalt </w:t>
      </w:r>
      <w:r w:rsidR="00797836">
        <w:rPr>
          <w:b/>
        </w:rPr>
        <w:t>20</w:t>
      </w:r>
      <w:r w:rsidR="00617748" w:rsidRPr="00CE2354">
        <w:rPr>
          <w:b/>
        </w:rPr>
        <w:t xml:space="preserve">. </w:t>
      </w:r>
      <w:r w:rsidR="00255AC5">
        <w:rPr>
          <w:b/>
        </w:rPr>
        <w:t>märtsil</w:t>
      </w:r>
      <w:r w:rsidRPr="00CE2354">
        <w:rPr>
          <w:b/>
        </w:rPr>
        <w:t xml:space="preserve"> 20</w:t>
      </w:r>
      <w:r w:rsidR="000C3013" w:rsidRPr="00CE2354">
        <w:rPr>
          <w:b/>
        </w:rPr>
        <w:t>2</w:t>
      </w:r>
      <w:r w:rsidR="0083520B">
        <w:rPr>
          <w:b/>
        </w:rPr>
        <w:t>3</w:t>
      </w:r>
      <w:r w:rsidRPr="00CE2354">
        <w:rPr>
          <w:b/>
        </w:rPr>
        <w:t>.a kell</w:t>
      </w:r>
      <w:r w:rsidR="00617748" w:rsidRPr="00CE2354">
        <w:rPr>
          <w:b/>
        </w:rPr>
        <w:t xml:space="preserve"> 1</w:t>
      </w:r>
      <w:r w:rsidR="00730447" w:rsidRPr="00CE2354">
        <w:rPr>
          <w:b/>
        </w:rPr>
        <w:t>0</w:t>
      </w:r>
      <w:r w:rsidR="00617748" w:rsidRPr="00CE2354">
        <w:rPr>
          <w:b/>
        </w:rPr>
        <w:t>:00</w:t>
      </w:r>
      <w:r w:rsidRPr="00CE2354">
        <w:rPr>
          <w:b/>
        </w:rPr>
        <w:t xml:space="preserve"> aadressil</w:t>
      </w:r>
      <w:r w:rsidR="00730447" w:rsidRPr="00CE2354">
        <w:rPr>
          <w:b/>
        </w:rPr>
        <w:t>e</w:t>
      </w:r>
      <w:r w:rsidRPr="00CE2354">
        <w:rPr>
          <w:b/>
        </w:rPr>
        <w:t xml:space="preserve"> </w:t>
      </w:r>
      <w:hyperlink r:id="rId10" w:history="1">
        <w:r w:rsidR="000E2F27" w:rsidRPr="00CE2354">
          <w:rPr>
            <w:rStyle w:val="Hyperlink"/>
            <w:b/>
          </w:rPr>
          <w:t>haigla@jmh.ee</w:t>
        </w:r>
      </w:hyperlink>
      <w:r w:rsidR="00642039" w:rsidRPr="00CE2354">
        <w:rPr>
          <w:b/>
        </w:rPr>
        <w:t>.</w:t>
      </w:r>
      <w:r w:rsidRPr="00CE2354">
        <w:rPr>
          <w:b/>
        </w:rPr>
        <w:t xml:space="preserve"> </w:t>
      </w:r>
      <w:r w:rsidRPr="00CE2354">
        <w:t xml:space="preserve">Elektronkirja teemareale tuleb märkida </w:t>
      </w:r>
      <w:r w:rsidRPr="00CE2354">
        <w:rPr>
          <w:i/>
        </w:rPr>
        <w:t>„</w:t>
      </w:r>
      <w:r w:rsidR="00797836" w:rsidRPr="00797836">
        <w:rPr>
          <w:i/>
        </w:rPr>
        <w:t>Silma optiline koherents-tomograaf</w:t>
      </w:r>
      <w:r w:rsidRPr="00555638">
        <w:rPr>
          <w:i/>
        </w:rPr>
        <w:t>“</w:t>
      </w:r>
      <w:r w:rsidRPr="006761D3">
        <w:t>. Pakkumus</w:t>
      </w:r>
      <w:r>
        <w:t>ed</w:t>
      </w:r>
      <w:r w:rsidRPr="006761D3">
        <w:t>, mis on esitatud paberkandjatel või millised ei ole saabunud käesolevas lõigus nimetatud elektronposti aadressile hiljemalt eelnimetatud tähtpäevaks</w:t>
      </w:r>
      <w:r w:rsidR="00730447">
        <w:t xml:space="preserve"> ja kellaajaks</w:t>
      </w:r>
      <w:r w:rsidRPr="006761D3">
        <w:t>, ei osale pakkumismenetluses.</w:t>
      </w:r>
      <w:r>
        <w:t xml:space="preserve"> Tingimuslike pakkumuste esitamine ei ole lubatud. Tingimuslikud pakkumused kuuluvad viivitamatult tagasilükkamisele.</w:t>
      </w:r>
    </w:p>
    <w:p w14:paraId="74CCC2BA" w14:textId="77777777" w:rsidR="005870D4" w:rsidRDefault="005870D4" w:rsidP="005870D4">
      <w:pPr>
        <w:tabs>
          <w:tab w:val="left" w:pos="7938"/>
        </w:tabs>
        <w:jc w:val="both"/>
      </w:pPr>
    </w:p>
    <w:p w14:paraId="6E575247" w14:textId="7F673FE8" w:rsidR="005870D4" w:rsidRDefault="005870D4" w:rsidP="005870D4">
      <w:pPr>
        <w:tabs>
          <w:tab w:val="left" w:pos="7938"/>
        </w:tabs>
        <w:jc w:val="both"/>
      </w:pPr>
      <w:r>
        <w:t>Kogu käesolevat hankemenetlust, hankeobjekt</w:t>
      </w:r>
      <w:r w:rsidR="009A3A57">
        <w:t>i</w:t>
      </w:r>
      <w:r>
        <w:t xml:space="preserve"> puudutavaid tehnilisi ning muid hankemenetlusega seotud küsimusi puudutav suhtlus toimub üksnes elektrooniliste kandjate kaudu, pöördumisel aadressile </w:t>
      </w:r>
      <w:hyperlink r:id="rId11" w:history="1">
        <w:r w:rsidR="00827F88" w:rsidRPr="00704C56">
          <w:rPr>
            <w:rStyle w:val="Hyperlink"/>
          </w:rPr>
          <w:t>haigla@jmh.ee</w:t>
        </w:r>
      </w:hyperlink>
      <w:r>
        <w:t xml:space="preserve">. Hankija teeb kõik käesolevast pakkumuste esitamise ettepanekust tulenevad küsimused ja/või tehnilise kirjelduse osas esitatud küsimused koos vastustega avalikult teatavaks hankija kodulehel aadressil </w:t>
      </w:r>
      <w:hyperlink r:id="rId12" w:history="1">
        <w:r w:rsidR="000E2F27" w:rsidRPr="005E0335">
          <w:rPr>
            <w:rStyle w:val="Hyperlink"/>
          </w:rPr>
          <w:t>www.jmh.ee</w:t>
        </w:r>
      </w:hyperlink>
      <w:r>
        <w:t xml:space="preserve">, </w:t>
      </w:r>
      <w:r w:rsidRPr="001301C4">
        <w:t>hangete teemalehe</w:t>
      </w:r>
      <w:r>
        <w:t>l. Hankija ei avalikusta oma kodulehel konkreetse küsimuse esitanud ettevõtja ja/või tema esindaja nimesid.</w:t>
      </w:r>
    </w:p>
    <w:p w14:paraId="603BDC0D" w14:textId="77777777" w:rsidR="00827F88" w:rsidRDefault="00827F88" w:rsidP="005870D4">
      <w:pPr>
        <w:tabs>
          <w:tab w:val="left" w:pos="7938"/>
        </w:tabs>
        <w:jc w:val="both"/>
        <w:rPr>
          <w:b/>
        </w:rPr>
      </w:pPr>
    </w:p>
    <w:p w14:paraId="37E2356F" w14:textId="24205765" w:rsidR="00827F88" w:rsidRPr="00827F88" w:rsidRDefault="00827F88" w:rsidP="00827F88">
      <w:pPr>
        <w:tabs>
          <w:tab w:val="left" w:pos="7938"/>
        </w:tabs>
        <w:jc w:val="both"/>
      </w:pPr>
      <w:r w:rsidRPr="00827F88">
        <w:t>Hankija jätab endale õiguse astuda tähtaegselt käesolevast pakkumuste esitamise ettepanekust tulenevatele tingimustele vastavad pakkumused esitanud pakkujatega läbirääkimistesse pakutavate seadmete tarneaja, garantiijärgse hooldusteenuse osutamise võimalikkuse, tingimuste ning tasu suuruse ja seadmete maksumuse üle. Läbirääkimiste pidamise soovist ning täpsemast korrast teavitab hankija tähtaegselt pakkumused esitanud pakkujaid elektronkirja teel.</w:t>
      </w:r>
    </w:p>
    <w:p w14:paraId="50270662" w14:textId="6879CFA8" w:rsidR="009C7CB5" w:rsidRDefault="009C7CB5" w:rsidP="00827F88">
      <w:pPr>
        <w:tabs>
          <w:tab w:val="left" w:pos="7938"/>
        </w:tabs>
        <w:jc w:val="both"/>
      </w:pPr>
    </w:p>
    <w:p w14:paraId="042EBD52" w14:textId="680E1D50" w:rsidR="00416D56" w:rsidRDefault="00416D56" w:rsidP="00416D56">
      <w:pPr>
        <w:jc w:val="both"/>
      </w:pPr>
      <w:r>
        <w:t>Pakkumuste hindamiskriteeriumiks on madalaim maksumus</w:t>
      </w:r>
      <w:r w:rsidR="000E2F27">
        <w:t>.</w:t>
      </w:r>
    </w:p>
    <w:p w14:paraId="79EFCED0" w14:textId="77777777" w:rsidR="00416D56" w:rsidRDefault="00416D56" w:rsidP="00416D56">
      <w:pPr>
        <w:jc w:val="both"/>
      </w:pPr>
    </w:p>
    <w:p w14:paraId="26B0A1F4" w14:textId="434645C7" w:rsidR="005870D4" w:rsidRDefault="00416D56" w:rsidP="00416D56">
      <w:pPr>
        <w:jc w:val="both"/>
      </w:pPr>
      <w:r>
        <w:t>Hankija jätab endale õiguse kõikide pakkumuste tagasi lükkamiseks.</w:t>
      </w:r>
    </w:p>
    <w:p w14:paraId="63EA25D8" w14:textId="77777777" w:rsidR="00416D56" w:rsidRDefault="00416D56" w:rsidP="00416D56">
      <w:pPr>
        <w:jc w:val="both"/>
      </w:pPr>
    </w:p>
    <w:p w14:paraId="6141DC8A" w14:textId="76C8D6D3" w:rsidR="005870D4" w:rsidRDefault="005870D4" w:rsidP="005870D4">
      <w:pPr>
        <w:jc w:val="both"/>
      </w:pPr>
      <w:r>
        <w:t xml:space="preserve">Eduka pakkujaga </w:t>
      </w:r>
      <w:r w:rsidR="00DE7570">
        <w:t>sõlmitakse hankeleping.</w:t>
      </w:r>
      <w:r>
        <w:t xml:space="preserve"> </w:t>
      </w:r>
      <w:r w:rsidR="000756C1">
        <w:t>Poolte vahelisele</w:t>
      </w:r>
      <w:r>
        <w:t xml:space="preserve"> hankelepingule kohaldatakse Eesti Vabariigi õigust. Hankelepingust tulenevad vaidlused lahendatakse eelkõige läbirääkimiste teel. Juhul kui lepingust tõusetunud vaidluste lahendamine ei ole läbirääkimiste teel võimalik, lahendatakse vaidlus esmases järjekorras </w:t>
      </w:r>
      <w:r w:rsidR="00730447">
        <w:t>Pärnu</w:t>
      </w:r>
      <w:r>
        <w:t xml:space="preserve"> maakohtus.</w:t>
      </w:r>
    </w:p>
    <w:p w14:paraId="52A0EC69" w14:textId="029A6C36" w:rsidR="00DE7570" w:rsidRDefault="00DE7570" w:rsidP="005870D4">
      <w:pPr>
        <w:jc w:val="both"/>
      </w:pPr>
    </w:p>
    <w:p w14:paraId="2BF00C0C" w14:textId="22A0EFFD" w:rsidR="00C7325D" w:rsidRPr="00DE7570" w:rsidRDefault="00C7325D" w:rsidP="00C7325D">
      <w:pPr>
        <w:jc w:val="both"/>
      </w:pPr>
      <w:r w:rsidRPr="00DE7570">
        <w:t>Pakkumus</w:t>
      </w:r>
      <w:r>
        <w:t xml:space="preserve"> tuleb esitada</w:t>
      </w:r>
      <w:r w:rsidRPr="00DE7570">
        <w:t xml:space="preserve"> vastavalt lisatud tehnilis</w:t>
      </w:r>
      <w:r w:rsidR="00791563">
        <w:t>t</w:t>
      </w:r>
      <w:r w:rsidRPr="00DE7570">
        <w:t>ele kirjeldus</w:t>
      </w:r>
      <w:r w:rsidR="00791563">
        <w:t>t</w:t>
      </w:r>
      <w:r w:rsidRPr="00DE7570">
        <w:t>ele</w:t>
      </w:r>
      <w:r>
        <w:t>.</w:t>
      </w:r>
      <w:r w:rsidR="00C7511A">
        <w:t xml:space="preserve"> </w:t>
      </w:r>
    </w:p>
    <w:p w14:paraId="62F4B6A2" w14:textId="77777777" w:rsidR="00C7325D" w:rsidRDefault="00C7325D" w:rsidP="00827F88">
      <w:pPr>
        <w:jc w:val="both"/>
        <w:rPr>
          <w:b/>
        </w:rPr>
      </w:pPr>
    </w:p>
    <w:p w14:paraId="4A07DCF3" w14:textId="0CFC0F2A" w:rsidR="00014F96" w:rsidRPr="003A606F" w:rsidRDefault="00797836" w:rsidP="003A606F">
      <w:pPr>
        <w:tabs>
          <w:tab w:val="left" w:pos="7938"/>
        </w:tabs>
        <w:ind w:left="360"/>
        <w:rPr>
          <w:b/>
        </w:rPr>
      </w:pPr>
      <w:r w:rsidRPr="003A606F">
        <w:rPr>
          <w:b/>
          <w:u w:val="single"/>
        </w:rPr>
        <w:t xml:space="preserve">Silma optiline koherents-tomograaf </w:t>
      </w:r>
      <w:r w:rsidR="00442BBE" w:rsidRPr="003A606F">
        <w:rPr>
          <w:b/>
        </w:rPr>
        <w:t xml:space="preserve"> </w:t>
      </w:r>
      <w:r w:rsidR="00C7511A" w:rsidRPr="003A606F">
        <w:rPr>
          <w:b/>
        </w:rPr>
        <w:t xml:space="preserve">1 tk - </w:t>
      </w:r>
      <w:r w:rsidR="00442BBE" w:rsidRPr="003A606F">
        <w:rPr>
          <w:b/>
        </w:rPr>
        <w:t xml:space="preserve">hind koos installeerimise, seadistamise ja kasutajakoolitusega Hankijale: ................... </w:t>
      </w:r>
      <w:r w:rsidR="00014F96" w:rsidRPr="003A606F">
        <w:rPr>
          <w:b/>
        </w:rPr>
        <w:t>€ + käibemaks</w:t>
      </w:r>
    </w:p>
    <w:p w14:paraId="72E4F4FE" w14:textId="6EC4F116" w:rsidR="00442BBE" w:rsidRDefault="00442BBE" w:rsidP="00442BBE">
      <w:pPr>
        <w:tabs>
          <w:tab w:val="left" w:pos="7938"/>
        </w:tabs>
        <w:jc w:val="both"/>
        <w:rPr>
          <w:b/>
        </w:rPr>
      </w:pPr>
    </w:p>
    <w:p w14:paraId="633C2760" w14:textId="77777777" w:rsidR="00014F96" w:rsidRDefault="00014F96" w:rsidP="00442BBE">
      <w:pPr>
        <w:jc w:val="both"/>
        <w:rPr>
          <w:b/>
        </w:rPr>
      </w:pPr>
    </w:p>
    <w:p w14:paraId="1D7E44A5" w14:textId="0C349388" w:rsidR="00442BBE" w:rsidRDefault="000667E7" w:rsidP="00442BBE">
      <w:pPr>
        <w:jc w:val="both"/>
        <w:rPr>
          <w:b/>
        </w:rPr>
      </w:pPr>
      <w:r w:rsidRPr="000667E7">
        <w:rPr>
          <w:b/>
        </w:rPr>
        <w:t>Silma opti</w:t>
      </w:r>
      <w:r>
        <w:rPr>
          <w:b/>
        </w:rPr>
        <w:t>lis</w:t>
      </w:r>
      <w:r w:rsidRPr="000667E7">
        <w:rPr>
          <w:b/>
        </w:rPr>
        <w:t>e koherents-tomograaf</w:t>
      </w:r>
      <w:r>
        <w:rPr>
          <w:b/>
        </w:rPr>
        <w:t>i</w:t>
      </w:r>
      <w:r w:rsidR="00014F96">
        <w:rPr>
          <w:b/>
        </w:rPr>
        <w:t xml:space="preserve"> m</w:t>
      </w:r>
      <w:r w:rsidR="00442BBE">
        <w:rPr>
          <w:b/>
        </w:rPr>
        <w:t>ark ja mudel ……………….</w:t>
      </w:r>
    </w:p>
    <w:p w14:paraId="6C5EE4EF" w14:textId="77777777" w:rsidR="00827F88" w:rsidRPr="00827F88" w:rsidRDefault="00827F88" w:rsidP="00827F88">
      <w:pPr>
        <w:jc w:val="both"/>
        <w:rPr>
          <w:b/>
        </w:rPr>
      </w:pPr>
    </w:p>
    <w:p w14:paraId="0F81A8C7" w14:textId="327315D8" w:rsidR="00827F88" w:rsidRDefault="00C7325D" w:rsidP="00827F88">
      <w:pPr>
        <w:jc w:val="both"/>
        <w:rPr>
          <w:b/>
          <w:iCs/>
        </w:rPr>
      </w:pPr>
      <w:r>
        <w:rPr>
          <w:b/>
          <w:iCs/>
        </w:rPr>
        <w:t>Tehniline kirjeldus ja n</w:t>
      </w:r>
      <w:r w:rsidR="00827F88" w:rsidRPr="00C7325D">
        <w:rPr>
          <w:b/>
          <w:iCs/>
        </w:rPr>
        <w:t xml:space="preserve">õuded </w:t>
      </w:r>
      <w:r w:rsidR="000667E7">
        <w:rPr>
          <w:b/>
          <w:iCs/>
        </w:rPr>
        <w:t>s</w:t>
      </w:r>
      <w:r w:rsidR="000667E7" w:rsidRPr="000667E7">
        <w:rPr>
          <w:b/>
          <w:iCs/>
        </w:rPr>
        <w:t>ilma optili</w:t>
      </w:r>
      <w:r w:rsidR="000667E7">
        <w:rPr>
          <w:b/>
          <w:iCs/>
        </w:rPr>
        <w:t>sele</w:t>
      </w:r>
      <w:r w:rsidR="000667E7" w:rsidRPr="000667E7">
        <w:rPr>
          <w:b/>
          <w:iCs/>
        </w:rPr>
        <w:t xml:space="preserve"> koherents-tomograaf</w:t>
      </w:r>
      <w:r w:rsidR="00255AC5">
        <w:rPr>
          <w:b/>
          <w:iCs/>
        </w:rPr>
        <w:t>ile</w:t>
      </w:r>
    </w:p>
    <w:tbl>
      <w:tblPr>
        <w:tblpPr w:leftFromText="141" w:rightFromText="141" w:bottomFromText="65" w:vertAnchor="text" w:tblpXSpec="cent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
        <w:gridCol w:w="6496"/>
        <w:gridCol w:w="1866"/>
      </w:tblGrid>
      <w:tr w:rsidR="001F0DFA" w:rsidRPr="00827F88" w14:paraId="200B6362"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hideMark/>
          </w:tcPr>
          <w:p w14:paraId="41284D91" w14:textId="77777777" w:rsidR="001F0DFA" w:rsidRPr="00827F88" w:rsidRDefault="001F0DFA" w:rsidP="005B0394">
            <w:pPr>
              <w:jc w:val="both"/>
              <w:rPr>
                <w:b/>
                <w:bCs/>
              </w:rPr>
            </w:pPr>
            <w:r w:rsidRPr="00827F88">
              <w:rPr>
                <w:b/>
                <w:bCs/>
              </w:rPr>
              <w:t xml:space="preserve">Jrk </w:t>
            </w:r>
          </w:p>
        </w:tc>
        <w:tc>
          <w:tcPr>
            <w:tcW w:w="347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hideMark/>
          </w:tcPr>
          <w:p w14:paraId="42347E88" w14:textId="77777777" w:rsidR="001F0DFA" w:rsidRPr="00827F88" w:rsidRDefault="001F0DFA" w:rsidP="005B0394">
            <w:pPr>
              <w:jc w:val="both"/>
              <w:rPr>
                <w:b/>
                <w:bCs/>
              </w:rPr>
            </w:pPr>
            <w:r w:rsidRPr="00827F88">
              <w:rPr>
                <w:b/>
                <w:bCs/>
              </w:rPr>
              <w:t xml:space="preserve">Funktsionaalne omadus </w:t>
            </w:r>
          </w:p>
        </w:tc>
        <w:tc>
          <w:tcPr>
            <w:tcW w:w="99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E6EC7D" w14:textId="77777777" w:rsidR="001F0DFA" w:rsidRPr="00827F88" w:rsidRDefault="001F0DFA" w:rsidP="005B0394">
            <w:pPr>
              <w:jc w:val="both"/>
              <w:rPr>
                <w:b/>
                <w:bCs/>
              </w:rPr>
            </w:pPr>
            <w:r w:rsidRPr="00827F88">
              <w:rPr>
                <w:b/>
                <w:bCs/>
              </w:rPr>
              <w:t>Vastavus nõudele (Jah/Ei) ja/või parameetri arvväärtus</w:t>
            </w:r>
          </w:p>
        </w:tc>
      </w:tr>
      <w:tr w:rsidR="001F0DFA" w:rsidRPr="00827F88" w14:paraId="669A4B85"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076B3" w14:textId="77777777" w:rsidR="001F0DFA" w:rsidRPr="00827F88" w:rsidRDefault="001F0DFA" w:rsidP="005B0394">
            <w:pPr>
              <w:numPr>
                <w:ilvl w:val="0"/>
                <w:numId w:val="7"/>
              </w:numPr>
              <w:jc w:val="both"/>
              <w:rPr>
                <w:b/>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069188" w14:textId="7F9AA043" w:rsidR="001F0DFA" w:rsidRPr="00827F88" w:rsidRDefault="001F0DFA" w:rsidP="00255AC5">
            <w:pPr>
              <w:jc w:val="both"/>
              <w:rPr>
                <w:b/>
                <w:bCs/>
              </w:rPr>
            </w:pPr>
            <w:r w:rsidRPr="00827F88">
              <w:rPr>
                <w:b/>
                <w:bCs/>
              </w:rPr>
              <w:t>Üldnõuded</w:t>
            </w:r>
            <w:r w:rsidR="0083520B">
              <w:rPr>
                <w:b/>
                <w:bCs/>
              </w:rPr>
              <w:t>:</w:t>
            </w:r>
            <w:r w:rsidRPr="00827F88">
              <w:rPr>
                <w:b/>
                <w:bCs/>
              </w:rPr>
              <w:t xml:space="preserve"> </w:t>
            </w:r>
          </w:p>
        </w:tc>
        <w:tc>
          <w:tcPr>
            <w:tcW w:w="998" w:type="pct"/>
            <w:tcBorders>
              <w:top w:val="single" w:sz="4" w:space="0" w:color="auto"/>
              <w:left w:val="single" w:sz="4" w:space="0" w:color="auto"/>
              <w:bottom w:val="single" w:sz="4" w:space="0" w:color="auto"/>
              <w:right w:val="single" w:sz="4" w:space="0" w:color="auto"/>
            </w:tcBorders>
          </w:tcPr>
          <w:p w14:paraId="520A0CCF" w14:textId="77777777" w:rsidR="001F0DFA" w:rsidRPr="00827F88" w:rsidRDefault="001F0DFA" w:rsidP="005B0394">
            <w:pPr>
              <w:jc w:val="both"/>
              <w:rPr>
                <w:b/>
                <w:bCs/>
              </w:rPr>
            </w:pPr>
          </w:p>
        </w:tc>
      </w:tr>
      <w:tr w:rsidR="001F0DFA" w:rsidRPr="00827F88" w14:paraId="7A789D0A"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5023DA" w14:textId="77777777" w:rsidR="001F0DFA" w:rsidRPr="00827F88" w:rsidRDefault="001F0DFA"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C49AC" w14:textId="2E9F08A5" w:rsidR="001F0DFA" w:rsidRPr="00647F33" w:rsidRDefault="00797836" w:rsidP="00797836">
            <w:pPr>
              <w:jc w:val="both"/>
              <w:rPr>
                <w:bCs/>
              </w:rPr>
            </w:pPr>
            <w:r w:rsidRPr="00797836">
              <w:rPr>
                <w:bCs/>
              </w:rPr>
              <w:t xml:space="preserve">Valgusallikas </w:t>
            </w:r>
            <w:r>
              <w:rPr>
                <w:bCs/>
              </w:rPr>
              <w:t xml:space="preserve">min </w:t>
            </w:r>
            <w:r w:rsidRPr="00797836">
              <w:rPr>
                <w:bCs/>
              </w:rPr>
              <w:t>SLED 850nm</w:t>
            </w:r>
          </w:p>
        </w:tc>
        <w:tc>
          <w:tcPr>
            <w:tcW w:w="998" w:type="pct"/>
            <w:tcBorders>
              <w:top w:val="single" w:sz="4" w:space="0" w:color="auto"/>
              <w:left w:val="single" w:sz="4" w:space="0" w:color="auto"/>
              <w:bottom w:val="single" w:sz="4" w:space="0" w:color="auto"/>
              <w:right w:val="single" w:sz="4" w:space="0" w:color="auto"/>
            </w:tcBorders>
          </w:tcPr>
          <w:p w14:paraId="4C231F67" w14:textId="77777777" w:rsidR="001F0DFA" w:rsidRPr="00827F88" w:rsidRDefault="001F0DFA" w:rsidP="005B0394">
            <w:pPr>
              <w:jc w:val="both"/>
            </w:pPr>
          </w:p>
        </w:tc>
      </w:tr>
      <w:tr w:rsidR="00255AC5" w:rsidRPr="00827F88" w14:paraId="07857BE0"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10183" w14:textId="77777777" w:rsidR="00255AC5" w:rsidRPr="00827F88" w:rsidRDefault="00255AC5"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3A806" w14:textId="68FD9101" w:rsidR="00255AC5" w:rsidRDefault="00797836" w:rsidP="00255AC5">
            <w:pPr>
              <w:jc w:val="both"/>
              <w:rPr>
                <w:bCs/>
              </w:rPr>
            </w:pPr>
            <w:r>
              <w:t>Vähemalt 60000 skänneeringut sekundis</w:t>
            </w:r>
          </w:p>
        </w:tc>
        <w:tc>
          <w:tcPr>
            <w:tcW w:w="998" w:type="pct"/>
            <w:tcBorders>
              <w:top w:val="single" w:sz="4" w:space="0" w:color="auto"/>
              <w:left w:val="single" w:sz="4" w:space="0" w:color="auto"/>
              <w:bottom w:val="single" w:sz="4" w:space="0" w:color="auto"/>
              <w:right w:val="single" w:sz="4" w:space="0" w:color="auto"/>
            </w:tcBorders>
          </w:tcPr>
          <w:p w14:paraId="42D1D92D" w14:textId="77777777" w:rsidR="00255AC5" w:rsidRPr="00827F88" w:rsidRDefault="00255AC5" w:rsidP="005B0394">
            <w:pPr>
              <w:jc w:val="both"/>
            </w:pPr>
          </w:p>
        </w:tc>
      </w:tr>
      <w:tr w:rsidR="00255AC5" w:rsidRPr="00827F88" w14:paraId="531289A9"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7B015" w14:textId="77777777" w:rsidR="00255AC5" w:rsidRDefault="00255AC5"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AC129" w14:textId="6D3A2E72" w:rsidR="00255AC5" w:rsidRDefault="00797836" w:rsidP="0083520B">
            <w:pPr>
              <w:jc w:val="both"/>
              <w:rPr>
                <w:bCs/>
              </w:rPr>
            </w:pPr>
            <w:r>
              <w:t xml:space="preserve"> Komplektis topograafiamoodul koos kalibraatoriga</w:t>
            </w:r>
          </w:p>
        </w:tc>
        <w:tc>
          <w:tcPr>
            <w:tcW w:w="998" w:type="pct"/>
            <w:tcBorders>
              <w:top w:val="single" w:sz="4" w:space="0" w:color="auto"/>
              <w:left w:val="single" w:sz="4" w:space="0" w:color="auto"/>
              <w:bottom w:val="single" w:sz="4" w:space="0" w:color="auto"/>
              <w:right w:val="single" w:sz="4" w:space="0" w:color="auto"/>
            </w:tcBorders>
          </w:tcPr>
          <w:p w14:paraId="2D313031" w14:textId="77777777" w:rsidR="00255AC5" w:rsidRDefault="00255AC5" w:rsidP="005B0394">
            <w:pPr>
              <w:jc w:val="both"/>
            </w:pPr>
          </w:p>
        </w:tc>
      </w:tr>
      <w:tr w:rsidR="00255AC5" w:rsidRPr="00827F88" w14:paraId="1AC37384"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DDFD6" w14:textId="77777777" w:rsidR="00255AC5" w:rsidRDefault="00255AC5"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E48B" w14:textId="4136B89E" w:rsidR="00255AC5" w:rsidRPr="00797836" w:rsidRDefault="00797836" w:rsidP="00797836">
            <w:pPr>
              <w:jc w:val="both"/>
              <w:rPr>
                <w:bCs/>
              </w:rPr>
            </w:pPr>
            <w:r>
              <w:t xml:space="preserve"> </w:t>
            </w:r>
            <w:r w:rsidRPr="00797836">
              <w:rPr>
                <w:bCs/>
              </w:rPr>
              <w:t>Topograafia sarvkesta taga-ja eesmise osa ja KPI kuvamine</w:t>
            </w:r>
          </w:p>
        </w:tc>
        <w:tc>
          <w:tcPr>
            <w:tcW w:w="998" w:type="pct"/>
            <w:tcBorders>
              <w:top w:val="single" w:sz="4" w:space="0" w:color="auto"/>
              <w:left w:val="single" w:sz="4" w:space="0" w:color="auto"/>
              <w:bottom w:val="single" w:sz="4" w:space="0" w:color="auto"/>
              <w:right w:val="single" w:sz="4" w:space="0" w:color="auto"/>
            </w:tcBorders>
          </w:tcPr>
          <w:p w14:paraId="7F0C6D20" w14:textId="77777777" w:rsidR="00255AC5" w:rsidRDefault="00255AC5" w:rsidP="005B0394">
            <w:pPr>
              <w:jc w:val="both"/>
            </w:pPr>
          </w:p>
        </w:tc>
      </w:tr>
      <w:tr w:rsidR="00255AC5" w:rsidRPr="00827F88" w14:paraId="5AF07B4F"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19921" w14:textId="77777777" w:rsidR="00255AC5" w:rsidRDefault="00255AC5"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C7C41" w14:textId="4568D12E" w:rsidR="00255AC5" w:rsidRDefault="00797836" w:rsidP="00E5044A">
            <w:pPr>
              <w:jc w:val="both"/>
              <w:rPr>
                <w:bCs/>
              </w:rPr>
            </w:pPr>
            <w:r>
              <w:t>Automaatne parema ja vasaku silma mõõtmine koos häälkäsklusega paremaks patsiendi juhendamiseks vähemalt inglise ja vene keeles</w:t>
            </w:r>
          </w:p>
        </w:tc>
        <w:tc>
          <w:tcPr>
            <w:tcW w:w="998" w:type="pct"/>
            <w:tcBorders>
              <w:top w:val="single" w:sz="4" w:space="0" w:color="auto"/>
              <w:left w:val="single" w:sz="4" w:space="0" w:color="auto"/>
              <w:bottom w:val="single" w:sz="4" w:space="0" w:color="auto"/>
              <w:right w:val="single" w:sz="4" w:space="0" w:color="auto"/>
            </w:tcBorders>
          </w:tcPr>
          <w:p w14:paraId="0A57875C" w14:textId="77777777" w:rsidR="00255AC5" w:rsidRDefault="00255AC5" w:rsidP="005B0394">
            <w:pPr>
              <w:jc w:val="both"/>
            </w:pPr>
          </w:p>
        </w:tc>
      </w:tr>
      <w:tr w:rsidR="00E5044A" w:rsidRPr="00827F88" w14:paraId="150EC8D1" w14:textId="77777777" w:rsidTr="0083520B">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25985" w14:textId="00241829" w:rsidR="00E5044A" w:rsidRDefault="00E5044A" w:rsidP="00E5044A">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12B17" w14:textId="7493760D" w:rsidR="00E5044A" w:rsidRDefault="00797836" w:rsidP="00E5044A">
            <w:pPr>
              <w:jc w:val="both"/>
              <w:rPr>
                <w:bCs/>
              </w:rPr>
            </w:pPr>
            <w:r>
              <w:t>Protokollipõhine automaatne parema ja vasaku silma mõõtmine vähemalt neljas järjestikuses osas: maakul, disk, sarvkesta topograafia ja sarvkesta vähemalt 16 mm laiune radiaalne skaneerig</w:t>
            </w:r>
          </w:p>
        </w:tc>
        <w:tc>
          <w:tcPr>
            <w:tcW w:w="998" w:type="pct"/>
            <w:tcBorders>
              <w:top w:val="single" w:sz="4" w:space="0" w:color="auto"/>
              <w:left w:val="single" w:sz="4" w:space="0" w:color="auto"/>
              <w:bottom w:val="single" w:sz="4" w:space="0" w:color="auto"/>
              <w:right w:val="single" w:sz="4" w:space="0" w:color="auto"/>
            </w:tcBorders>
          </w:tcPr>
          <w:p w14:paraId="3DEF0139" w14:textId="6D1CACF5" w:rsidR="00E5044A" w:rsidRDefault="00E5044A" w:rsidP="00E5044A">
            <w:pPr>
              <w:jc w:val="both"/>
            </w:pPr>
          </w:p>
        </w:tc>
      </w:tr>
      <w:tr w:rsidR="00E5044A" w:rsidRPr="00827F88" w14:paraId="71038996" w14:textId="77777777" w:rsidTr="0083520B">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AE9C3" w14:textId="305CA46D" w:rsidR="00E5044A" w:rsidRDefault="00E5044A" w:rsidP="00E5044A">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68C12" w14:textId="6AEFCA6C" w:rsidR="00E5044A" w:rsidRPr="00797836" w:rsidRDefault="00797836" w:rsidP="00797836">
            <w:pPr>
              <w:jc w:val="both"/>
              <w:rPr>
                <w:bCs/>
              </w:rPr>
            </w:pPr>
            <w:r>
              <w:t xml:space="preserve"> </w:t>
            </w:r>
            <w:r w:rsidRPr="00797836">
              <w:rPr>
                <w:bCs/>
              </w:rPr>
              <w:t>Kambrinurkade mõõtmise võimalus</w:t>
            </w:r>
          </w:p>
        </w:tc>
        <w:tc>
          <w:tcPr>
            <w:tcW w:w="998" w:type="pct"/>
            <w:tcBorders>
              <w:top w:val="single" w:sz="4" w:space="0" w:color="auto"/>
              <w:left w:val="single" w:sz="4" w:space="0" w:color="auto"/>
              <w:bottom w:val="single" w:sz="4" w:space="0" w:color="auto"/>
              <w:right w:val="single" w:sz="4" w:space="0" w:color="auto"/>
            </w:tcBorders>
          </w:tcPr>
          <w:p w14:paraId="2F086B27" w14:textId="7477BB62" w:rsidR="00E5044A" w:rsidRDefault="00E5044A" w:rsidP="00E5044A">
            <w:pPr>
              <w:jc w:val="both"/>
            </w:pPr>
          </w:p>
        </w:tc>
      </w:tr>
      <w:tr w:rsidR="00E5044A" w:rsidRPr="00827F88" w14:paraId="5826F712" w14:textId="77777777" w:rsidTr="0083520B">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83F2B" w14:textId="3E30E2C0" w:rsidR="00E5044A" w:rsidRPr="00827F88" w:rsidRDefault="00E5044A" w:rsidP="00E5044A">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C11FD" w14:textId="2631DBA2" w:rsidR="00E5044A" w:rsidRDefault="00797836" w:rsidP="00E5044A">
            <w:pPr>
              <w:jc w:val="both"/>
              <w:rPr>
                <w:bCs/>
              </w:rPr>
            </w:pPr>
            <w:r>
              <w:t>Reetina analüüs: reetina paksus, RNFL+GCL+IPL paksus, GCL+IPL paksus, RNFL paksus, RPE deformatsioon</w:t>
            </w:r>
          </w:p>
        </w:tc>
        <w:tc>
          <w:tcPr>
            <w:tcW w:w="998" w:type="pct"/>
            <w:tcBorders>
              <w:top w:val="single" w:sz="4" w:space="0" w:color="auto"/>
              <w:left w:val="single" w:sz="4" w:space="0" w:color="auto"/>
              <w:bottom w:val="single" w:sz="4" w:space="0" w:color="auto"/>
              <w:right w:val="single" w:sz="4" w:space="0" w:color="auto"/>
            </w:tcBorders>
          </w:tcPr>
          <w:p w14:paraId="59CAE7AE" w14:textId="61C0D825" w:rsidR="00E5044A" w:rsidRPr="00827F88" w:rsidRDefault="00E5044A" w:rsidP="00E5044A">
            <w:pPr>
              <w:jc w:val="both"/>
            </w:pPr>
          </w:p>
        </w:tc>
      </w:tr>
      <w:tr w:rsidR="00E5044A" w:rsidRPr="00827F88" w14:paraId="1FB6B368" w14:textId="77777777" w:rsidTr="0083520B">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74AF" w14:textId="77777777" w:rsidR="00E5044A" w:rsidRPr="00827F88" w:rsidRDefault="00E5044A" w:rsidP="00E5044A">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20E5A" w14:textId="7959E6A9" w:rsidR="00E5044A" w:rsidRPr="00827F88" w:rsidRDefault="00797836" w:rsidP="00E5044A">
            <w:pPr>
              <w:jc w:val="both"/>
              <w:rPr>
                <w:bCs/>
              </w:rPr>
            </w:pPr>
            <w:r>
              <w:t>Glaukoomimoodul: DDLS kuvamine</w:t>
            </w:r>
          </w:p>
        </w:tc>
        <w:tc>
          <w:tcPr>
            <w:tcW w:w="998" w:type="pct"/>
            <w:tcBorders>
              <w:top w:val="single" w:sz="4" w:space="0" w:color="auto"/>
              <w:left w:val="single" w:sz="4" w:space="0" w:color="auto"/>
              <w:bottom w:val="single" w:sz="4" w:space="0" w:color="auto"/>
              <w:right w:val="single" w:sz="4" w:space="0" w:color="auto"/>
            </w:tcBorders>
          </w:tcPr>
          <w:p w14:paraId="7D4D760C" w14:textId="77777777" w:rsidR="00E5044A" w:rsidRPr="00827F88" w:rsidRDefault="00E5044A" w:rsidP="00E5044A">
            <w:pPr>
              <w:jc w:val="both"/>
            </w:pPr>
          </w:p>
        </w:tc>
      </w:tr>
      <w:tr w:rsidR="00E5044A" w:rsidRPr="00827F88" w14:paraId="2E851415"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D58CD" w14:textId="77777777" w:rsidR="00E5044A" w:rsidRPr="00827F88" w:rsidRDefault="00E5044A" w:rsidP="00E5044A">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476E7" w14:textId="2979B2AE" w:rsidR="00E5044A" w:rsidRPr="00B3416B" w:rsidRDefault="00B3416B" w:rsidP="00B3416B">
            <w:pPr>
              <w:jc w:val="both"/>
              <w:rPr>
                <w:bCs/>
              </w:rPr>
            </w:pPr>
            <w:r w:rsidRPr="00B3416B">
              <w:rPr>
                <w:bCs/>
              </w:rPr>
              <w:t>Perimeetri uuringutulemuste liitmine OCT tarkvarsse ning selle põhjal kombineeritud tulemuse kuvamine</w:t>
            </w:r>
          </w:p>
        </w:tc>
        <w:tc>
          <w:tcPr>
            <w:tcW w:w="998" w:type="pct"/>
            <w:tcBorders>
              <w:top w:val="single" w:sz="4" w:space="0" w:color="auto"/>
              <w:left w:val="single" w:sz="4" w:space="0" w:color="auto"/>
              <w:bottom w:val="single" w:sz="4" w:space="0" w:color="auto"/>
              <w:right w:val="single" w:sz="4" w:space="0" w:color="auto"/>
            </w:tcBorders>
          </w:tcPr>
          <w:p w14:paraId="7222723A" w14:textId="77777777" w:rsidR="00E5044A" w:rsidRPr="00827F88" w:rsidRDefault="00E5044A" w:rsidP="00E5044A">
            <w:pPr>
              <w:jc w:val="both"/>
              <w:rPr>
                <w:bCs/>
              </w:rPr>
            </w:pPr>
          </w:p>
        </w:tc>
      </w:tr>
      <w:tr w:rsidR="00E5044A" w:rsidRPr="00827F88" w14:paraId="4BB449B3"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02A98" w14:textId="77777777" w:rsidR="00E5044A" w:rsidRPr="00827F88" w:rsidRDefault="00E5044A" w:rsidP="00E5044A">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CF33" w14:textId="4951E78C" w:rsidR="00E5044A" w:rsidRPr="00B3416B" w:rsidRDefault="00B3416B" w:rsidP="00B3416B">
            <w:pPr>
              <w:jc w:val="both"/>
              <w:rPr>
                <w:bCs/>
              </w:rPr>
            </w:pPr>
            <w:r w:rsidRPr="00B3416B">
              <w:rPr>
                <w:bCs/>
              </w:rPr>
              <w:t>Angiograafiamooduli lisamise võimalus</w:t>
            </w:r>
          </w:p>
        </w:tc>
        <w:tc>
          <w:tcPr>
            <w:tcW w:w="998" w:type="pct"/>
            <w:tcBorders>
              <w:top w:val="single" w:sz="4" w:space="0" w:color="auto"/>
              <w:left w:val="single" w:sz="4" w:space="0" w:color="auto"/>
              <w:bottom w:val="single" w:sz="4" w:space="0" w:color="auto"/>
              <w:right w:val="single" w:sz="4" w:space="0" w:color="auto"/>
            </w:tcBorders>
          </w:tcPr>
          <w:p w14:paraId="306FCA65" w14:textId="77777777" w:rsidR="00E5044A" w:rsidRPr="00827F88" w:rsidRDefault="00E5044A" w:rsidP="00E5044A">
            <w:pPr>
              <w:jc w:val="both"/>
              <w:rPr>
                <w:bCs/>
              </w:rPr>
            </w:pPr>
          </w:p>
        </w:tc>
      </w:tr>
      <w:tr w:rsidR="00E5044A" w:rsidRPr="00827F88" w14:paraId="72C1D1F5"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39C30" w14:textId="77777777" w:rsidR="00E5044A" w:rsidRDefault="00E5044A" w:rsidP="00E5044A">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B8D3E" w14:textId="79F496F1" w:rsidR="00E5044A" w:rsidRPr="00B3416B" w:rsidRDefault="00B3416B" w:rsidP="00B3416B">
            <w:pPr>
              <w:jc w:val="both"/>
              <w:rPr>
                <w:bCs/>
              </w:rPr>
            </w:pPr>
            <w:r w:rsidRPr="00B3416B">
              <w:rPr>
                <w:bCs/>
              </w:rPr>
              <w:t>Biomeetri ja silmasiseste kunstläätsede arvutamise mooduli lisamise võimalus</w:t>
            </w:r>
          </w:p>
        </w:tc>
        <w:tc>
          <w:tcPr>
            <w:tcW w:w="998" w:type="pct"/>
            <w:tcBorders>
              <w:top w:val="single" w:sz="4" w:space="0" w:color="auto"/>
              <w:left w:val="single" w:sz="4" w:space="0" w:color="auto"/>
              <w:bottom w:val="single" w:sz="4" w:space="0" w:color="auto"/>
              <w:right w:val="single" w:sz="4" w:space="0" w:color="auto"/>
            </w:tcBorders>
          </w:tcPr>
          <w:p w14:paraId="51F65904" w14:textId="77777777" w:rsidR="00E5044A" w:rsidRDefault="00E5044A" w:rsidP="00E5044A">
            <w:pPr>
              <w:jc w:val="both"/>
              <w:rPr>
                <w:bCs/>
              </w:rPr>
            </w:pPr>
          </w:p>
        </w:tc>
      </w:tr>
      <w:tr w:rsidR="00E365F6" w:rsidRPr="00827F88" w14:paraId="16EC4E1C"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AB42B" w14:textId="77777777" w:rsidR="00E365F6" w:rsidRDefault="00E365F6" w:rsidP="00E5044A">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EAA5D" w14:textId="6078B76A" w:rsidR="00E365F6" w:rsidRPr="00B3416B" w:rsidRDefault="00B3416B" w:rsidP="00B3416B">
            <w:pPr>
              <w:jc w:val="both"/>
              <w:rPr>
                <w:bCs/>
              </w:rPr>
            </w:pPr>
            <w:bookmarkStart w:id="0" w:name="_GoBack"/>
            <w:bookmarkEnd w:id="0"/>
            <w:r w:rsidRPr="00B3416B">
              <w:rPr>
                <w:bCs/>
              </w:rPr>
              <w:t>Peab olema eraldiseisev operaatorarvuti</w:t>
            </w:r>
          </w:p>
        </w:tc>
        <w:tc>
          <w:tcPr>
            <w:tcW w:w="998" w:type="pct"/>
            <w:tcBorders>
              <w:top w:val="single" w:sz="4" w:space="0" w:color="auto"/>
              <w:left w:val="single" w:sz="4" w:space="0" w:color="auto"/>
              <w:bottom w:val="single" w:sz="4" w:space="0" w:color="auto"/>
              <w:right w:val="single" w:sz="4" w:space="0" w:color="auto"/>
            </w:tcBorders>
          </w:tcPr>
          <w:p w14:paraId="0B1A9C56" w14:textId="77777777" w:rsidR="00E365F6" w:rsidRDefault="00E365F6" w:rsidP="00E5044A">
            <w:pPr>
              <w:jc w:val="both"/>
              <w:rPr>
                <w:bCs/>
              </w:rPr>
            </w:pPr>
          </w:p>
        </w:tc>
      </w:tr>
      <w:tr w:rsidR="00B3416B" w:rsidRPr="00827F88" w14:paraId="0362088F"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B31F5" w14:textId="77777777" w:rsidR="00B3416B" w:rsidRDefault="00B3416B" w:rsidP="00E5044A">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8329D" w14:textId="2ACFB1EE" w:rsidR="00B3416B" w:rsidRDefault="00B3416B" w:rsidP="00E365F6">
            <w:pPr>
              <w:jc w:val="both"/>
              <w:rPr>
                <w:bCs/>
              </w:rPr>
            </w:pPr>
            <w:r>
              <w:t>Komplekti peab kuuluma elektriline instrumendilaud</w:t>
            </w:r>
          </w:p>
        </w:tc>
        <w:tc>
          <w:tcPr>
            <w:tcW w:w="998" w:type="pct"/>
            <w:tcBorders>
              <w:top w:val="single" w:sz="4" w:space="0" w:color="auto"/>
              <w:left w:val="single" w:sz="4" w:space="0" w:color="auto"/>
              <w:bottom w:val="single" w:sz="4" w:space="0" w:color="auto"/>
              <w:right w:val="single" w:sz="4" w:space="0" w:color="auto"/>
            </w:tcBorders>
          </w:tcPr>
          <w:p w14:paraId="24CA63C3" w14:textId="77777777" w:rsidR="00B3416B" w:rsidRDefault="00B3416B" w:rsidP="00E5044A">
            <w:pPr>
              <w:jc w:val="both"/>
              <w:rPr>
                <w:bCs/>
              </w:rPr>
            </w:pPr>
          </w:p>
        </w:tc>
      </w:tr>
      <w:tr w:rsidR="00B3416B" w:rsidRPr="00827F88" w14:paraId="5F47DBCD"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217EC" w14:textId="77777777" w:rsidR="00B3416B" w:rsidRDefault="00B3416B" w:rsidP="00E5044A">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C88D6" w14:textId="2CAE0F4A" w:rsidR="00B3416B" w:rsidRDefault="00B3416B" w:rsidP="00E365F6">
            <w:pPr>
              <w:jc w:val="both"/>
              <w:rPr>
                <w:bCs/>
              </w:rPr>
            </w:pPr>
            <w:r>
              <w:t>Seadme kaal mitte rohkem kui 30 kg</w:t>
            </w:r>
          </w:p>
        </w:tc>
        <w:tc>
          <w:tcPr>
            <w:tcW w:w="998" w:type="pct"/>
            <w:tcBorders>
              <w:top w:val="single" w:sz="4" w:space="0" w:color="auto"/>
              <w:left w:val="single" w:sz="4" w:space="0" w:color="auto"/>
              <w:bottom w:val="single" w:sz="4" w:space="0" w:color="auto"/>
              <w:right w:val="single" w:sz="4" w:space="0" w:color="auto"/>
            </w:tcBorders>
          </w:tcPr>
          <w:p w14:paraId="48EA4AE4" w14:textId="77777777" w:rsidR="00B3416B" w:rsidRDefault="00B3416B" w:rsidP="00E5044A">
            <w:pPr>
              <w:jc w:val="both"/>
              <w:rPr>
                <w:bCs/>
              </w:rPr>
            </w:pPr>
          </w:p>
        </w:tc>
      </w:tr>
      <w:tr w:rsidR="00B3416B" w:rsidRPr="00827F88" w14:paraId="1249AD3E"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9A88C" w14:textId="77777777" w:rsidR="00B3416B" w:rsidRDefault="00B3416B" w:rsidP="00E5044A">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3EC96" w14:textId="1F57338C" w:rsidR="00B3416B" w:rsidRDefault="00B3416B" w:rsidP="00E365F6">
            <w:pPr>
              <w:jc w:val="both"/>
              <w:rPr>
                <w:bCs/>
              </w:rPr>
            </w:pPr>
            <w:r w:rsidRPr="00B3416B">
              <w:rPr>
                <w:bCs/>
              </w:rPr>
              <w:t>Seade peab võimaldama korrektsiooni vahemikus vähemalt -25 kuni +25 dpt</w:t>
            </w:r>
          </w:p>
        </w:tc>
        <w:tc>
          <w:tcPr>
            <w:tcW w:w="998" w:type="pct"/>
            <w:tcBorders>
              <w:top w:val="single" w:sz="4" w:space="0" w:color="auto"/>
              <w:left w:val="single" w:sz="4" w:space="0" w:color="auto"/>
              <w:bottom w:val="single" w:sz="4" w:space="0" w:color="auto"/>
              <w:right w:val="single" w:sz="4" w:space="0" w:color="auto"/>
            </w:tcBorders>
          </w:tcPr>
          <w:p w14:paraId="1EB7F549" w14:textId="77777777" w:rsidR="00B3416B" w:rsidRDefault="00B3416B" w:rsidP="00E5044A">
            <w:pPr>
              <w:jc w:val="both"/>
              <w:rPr>
                <w:bCs/>
              </w:rPr>
            </w:pPr>
          </w:p>
        </w:tc>
      </w:tr>
      <w:tr w:rsidR="00E365F6" w:rsidRPr="00827F88" w14:paraId="31685BAB"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BDFDD" w14:textId="77777777" w:rsidR="00E365F6" w:rsidRDefault="00E365F6" w:rsidP="00E5044A">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81CD7" w14:textId="7D3F8B12" w:rsidR="00E365F6" w:rsidRDefault="0001516C" w:rsidP="00E5044A">
            <w:pPr>
              <w:jc w:val="both"/>
              <w:rPr>
                <w:bCs/>
              </w:rPr>
            </w:pPr>
            <w:r w:rsidRPr="0001516C">
              <w:rPr>
                <w:bCs/>
              </w:rPr>
              <w:t>DICOM olemasolu</w:t>
            </w:r>
          </w:p>
        </w:tc>
        <w:tc>
          <w:tcPr>
            <w:tcW w:w="998" w:type="pct"/>
            <w:tcBorders>
              <w:top w:val="single" w:sz="4" w:space="0" w:color="auto"/>
              <w:left w:val="single" w:sz="4" w:space="0" w:color="auto"/>
              <w:bottom w:val="single" w:sz="4" w:space="0" w:color="auto"/>
              <w:right w:val="single" w:sz="4" w:space="0" w:color="auto"/>
            </w:tcBorders>
          </w:tcPr>
          <w:p w14:paraId="1B87522D" w14:textId="77777777" w:rsidR="00E365F6" w:rsidRDefault="00E365F6" w:rsidP="00E5044A">
            <w:pPr>
              <w:jc w:val="both"/>
              <w:rPr>
                <w:bCs/>
              </w:rPr>
            </w:pPr>
          </w:p>
        </w:tc>
      </w:tr>
      <w:tr w:rsidR="00B3416B" w:rsidRPr="00827F88" w14:paraId="72B5E6B2"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28B5E" w14:textId="77777777" w:rsidR="00B3416B" w:rsidRDefault="00B3416B" w:rsidP="00E5044A">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7B34" w14:textId="26486C45" w:rsidR="00B3416B" w:rsidRDefault="0001516C" w:rsidP="00E5044A">
            <w:pPr>
              <w:jc w:val="both"/>
              <w:rPr>
                <w:bCs/>
              </w:rPr>
            </w:pPr>
            <w:r w:rsidRPr="0001516C">
              <w:rPr>
                <w:bCs/>
              </w:rPr>
              <w:t>Võrgutöökoha võimalus s.t. uuringutulemuste vaatamine ja OCT tarkvara abil interpreteerimine</w:t>
            </w:r>
          </w:p>
        </w:tc>
        <w:tc>
          <w:tcPr>
            <w:tcW w:w="998" w:type="pct"/>
            <w:tcBorders>
              <w:top w:val="single" w:sz="4" w:space="0" w:color="auto"/>
              <w:left w:val="single" w:sz="4" w:space="0" w:color="auto"/>
              <w:bottom w:val="single" w:sz="4" w:space="0" w:color="auto"/>
              <w:right w:val="single" w:sz="4" w:space="0" w:color="auto"/>
            </w:tcBorders>
          </w:tcPr>
          <w:p w14:paraId="6F783C80" w14:textId="77777777" w:rsidR="00B3416B" w:rsidRDefault="00B3416B" w:rsidP="00E5044A">
            <w:pPr>
              <w:jc w:val="both"/>
              <w:rPr>
                <w:bCs/>
              </w:rPr>
            </w:pPr>
          </w:p>
        </w:tc>
      </w:tr>
      <w:tr w:rsidR="00E5044A" w:rsidRPr="00827F88" w14:paraId="25373E8F"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F718B" w14:textId="77777777" w:rsidR="00E5044A" w:rsidRPr="00827F88" w:rsidRDefault="00E5044A" w:rsidP="00E5044A">
            <w:pPr>
              <w:numPr>
                <w:ilvl w:val="0"/>
                <w:numId w:val="7"/>
              </w:numPr>
              <w:jc w:val="both"/>
              <w:rPr>
                <w:b/>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63A5FB" w14:textId="77777777" w:rsidR="00E5044A" w:rsidRPr="00827F88" w:rsidRDefault="00E5044A" w:rsidP="00E5044A">
            <w:pPr>
              <w:jc w:val="both"/>
              <w:rPr>
                <w:b/>
                <w:bCs/>
              </w:rPr>
            </w:pPr>
            <w:r w:rsidRPr="00827F88">
              <w:rPr>
                <w:b/>
                <w:bCs/>
              </w:rPr>
              <w:t xml:space="preserve">Muud nõuded </w:t>
            </w:r>
          </w:p>
        </w:tc>
        <w:tc>
          <w:tcPr>
            <w:tcW w:w="998" w:type="pct"/>
            <w:tcBorders>
              <w:top w:val="single" w:sz="4" w:space="0" w:color="auto"/>
              <w:left w:val="single" w:sz="4" w:space="0" w:color="auto"/>
              <w:bottom w:val="single" w:sz="4" w:space="0" w:color="auto"/>
              <w:right w:val="single" w:sz="4" w:space="0" w:color="auto"/>
            </w:tcBorders>
          </w:tcPr>
          <w:p w14:paraId="6EE368C5" w14:textId="77777777" w:rsidR="00E5044A" w:rsidRPr="00827F88" w:rsidRDefault="00E5044A" w:rsidP="00E5044A">
            <w:pPr>
              <w:jc w:val="both"/>
              <w:rPr>
                <w:b/>
                <w:bCs/>
              </w:rPr>
            </w:pPr>
          </w:p>
        </w:tc>
      </w:tr>
      <w:tr w:rsidR="00E5044A" w:rsidRPr="00827F88" w14:paraId="145A47A0"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7CA7E" w14:textId="77777777" w:rsidR="00E5044A" w:rsidRPr="00827F88" w:rsidRDefault="00E5044A" w:rsidP="00E5044A">
            <w:pPr>
              <w:numPr>
                <w:ilvl w:val="1"/>
                <w:numId w:val="7"/>
              </w:numPr>
              <w:jc w:val="both"/>
              <w:rPr>
                <w:b/>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D015BF" w14:textId="00BF7691" w:rsidR="00E5044A" w:rsidRPr="00827F88" w:rsidRDefault="00E5044A" w:rsidP="00E5044A">
            <w:pPr>
              <w:jc w:val="both"/>
              <w:rPr>
                <w:bCs/>
              </w:rPr>
            </w:pPr>
            <w:r w:rsidRPr="00827F88">
              <w:rPr>
                <w:bCs/>
              </w:rPr>
              <w:t xml:space="preserve">Seadme garantiiaeg on vähemalt </w:t>
            </w:r>
            <w:r>
              <w:rPr>
                <w:bCs/>
              </w:rPr>
              <w:t>24</w:t>
            </w:r>
            <w:r w:rsidRPr="00827F88">
              <w:rPr>
                <w:bCs/>
              </w:rPr>
              <w:t xml:space="preserve"> kuud seadme vastuvõtmisest. Palume märkida pakutava garantiiaja pikkus kalendrikuudes.</w:t>
            </w:r>
          </w:p>
        </w:tc>
        <w:tc>
          <w:tcPr>
            <w:tcW w:w="998" w:type="pct"/>
            <w:tcBorders>
              <w:top w:val="single" w:sz="4" w:space="0" w:color="auto"/>
              <w:left w:val="single" w:sz="4" w:space="0" w:color="auto"/>
              <w:bottom w:val="single" w:sz="4" w:space="0" w:color="auto"/>
              <w:right w:val="single" w:sz="4" w:space="0" w:color="auto"/>
            </w:tcBorders>
          </w:tcPr>
          <w:p w14:paraId="7CDF0F48" w14:textId="77777777" w:rsidR="00E5044A" w:rsidRPr="00827F88" w:rsidRDefault="00E5044A" w:rsidP="00E5044A">
            <w:pPr>
              <w:jc w:val="both"/>
              <w:rPr>
                <w:bCs/>
              </w:rPr>
            </w:pPr>
          </w:p>
        </w:tc>
      </w:tr>
      <w:tr w:rsidR="00E5044A" w:rsidRPr="00827F88" w14:paraId="1243AC5D"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A9260" w14:textId="77777777" w:rsidR="00E5044A" w:rsidRPr="00827F88" w:rsidRDefault="00E5044A" w:rsidP="00E5044A">
            <w:pPr>
              <w:numPr>
                <w:ilvl w:val="1"/>
                <w:numId w:val="7"/>
              </w:numPr>
              <w:jc w:val="both"/>
              <w:rPr>
                <w:b/>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E5122" w14:textId="77777777" w:rsidR="00E5044A" w:rsidRPr="00827F88" w:rsidRDefault="00E5044A" w:rsidP="00E5044A">
            <w:pPr>
              <w:jc w:val="both"/>
              <w:rPr>
                <w:bCs/>
              </w:rPr>
            </w:pPr>
            <w:r w:rsidRPr="00827F88">
              <w:rPr>
                <w:bCs/>
              </w:rPr>
              <w:t xml:space="preserve">Tarnija tagab garantiiajal oma kulul seadme täishoolduse, mis sisaldab seadme tootja poolt ette nähtud korralist hooldust, rikete </w:t>
            </w:r>
            <w:r w:rsidRPr="00827F88">
              <w:rPr>
                <w:bCs/>
              </w:rPr>
              <w:lastRenderedPageBreak/>
              <w:t>kõrvaldamiseks teostatavaid remonttöid ja vajadusel kasutaja konsultatsioone.</w:t>
            </w:r>
          </w:p>
        </w:tc>
        <w:tc>
          <w:tcPr>
            <w:tcW w:w="998" w:type="pct"/>
            <w:tcBorders>
              <w:top w:val="single" w:sz="4" w:space="0" w:color="auto"/>
              <w:left w:val="single" w:sz="4" w:space="0" w:color="auto"/>
              <w:bottom w:val="single" w:sz="4" w:space="0" w:color="auto"/>
              <w:right w:val="single" w:sz="4" w:space="0" w:color="auto"/>
            </w:tcBorders>
          </w:tcPr>
          <w:p w14:paraId="628B3A2D" w14:textId="77777777" w:rsidR="00E5044A" w:rsidRPr="00827F88" w:rsidRDefault="00E5044A" w:rsidP="00E5044A">
            <w:pPr>
              <w:jc w:val="both"/>
              <w:rPr>
                <w:bCs/>
              </w:rPr>
            </w:pPr>
          </w:p>
        </w:tc>
      </w:tr>
      <w:tr w:rsidR="00E5044A" w:rsidRPr="00827F88" w14:paraId="6143F596"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8215C" w14:textId="77777777" w:rsidR="00E5044A" w:rsidRPr="00827F88" w:rsidRDefault="00E5044A" w:rsidP="00E5044A">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649B65" w14:textId="77777777" w:rsidR="00E5044A" w:rsidRPr="00827F88" w:rsidRDefault="00E5044A" w:rsidP="00E5044A">
            <w:pPr>
              <w:jc w:val="both"/>
              <w:rPr>
                <w:bCs/>
              </w:rPr>
            </w:pPr>
            <w:r w:rsidRPr="00827F88">
              <w:rPr>
                <w:bCs/>
              </w:rPr>
              <w:t>Seade on varustatud paberkandjal tootjapoolsete inglisekeelsete originaaljuhenditega ning eestikeelse kasutus-, hooldus- ja ohutusjuhendiga.</w:t>
            </w:r>
          </w:p>
        </w:tc>
        <w:tc>
          <w:tcPr>
            <w:tcW w:w="998" w:type="pct"/>
            <w:tcBorders>
              <w:top w:val="single" w:sz="4" w:space="0" w:color="auto"/>
              <w:left w:val="single" w:sz="4" w:space="0" w:color="auto"/>
              <w:bottom w:val="single" w:sz="4" w:space="0" w:color="auto"/>
              <w:right w:val="single" w:sz="4" w:space="0" w:color="auto"/>
            </w:tcBorders>
          </w:tcPr>
          <w:p w14:paraId="73AA246A" w14:textId="77777777" w:rsidR="00E5044A" w:rsidRPr="00827F88" w:rsidRDefault="00E5044A" w:rsidP="00E5044A">
            <w:pPr>
              <w:jc w:val="both"/>
              <w:rPr>
                <w:bCs/>
              </w:rPr>
            </w:pPr>
          </w:p>
        </w:tc>
      </w:tr>
      <w:tr w:rsidR="00E5044A" w:rsidRPr="00827F88" w14:paraId="3F6754C0"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157BC" w14:textId="77777777" w:rsidR="00E5044A" w:rsidRPr="00827F88" w:rsidRDefault="00E5044A" w:rsidP="00E5044A">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F6B6A" w14:textId="77777777" w:rsidR="00E5044A" w:rsidRPr="00827F88" w:rsidRDefault="00E5044A" w:rsidP="00E5044A">
            <w:pPr>
              <w:jc w:val="both"/>
              <w:rPr>
                <w:bCs/>
              </w:rPr>
            </w:pPr>
            <w:r w:rsidRPr="00827F88">
              <w:rPr>
                <w:bCs/>
              </w:rPr>
              <w:t xml:space="preserve">Seadme eest tasumine toimub peale kauba üleandmis-vastuvõtmisakti vormistamist ja allkirjastamist mõlema osapoole esindaja poolt </w:t>
            </w:r>
            <w:r>
              <w:rPr>
                <w:bCs/>
              </w:rPr>
              <w:t>30</w:t>
            </w:r>
            <w:r w:rsidRPr="00827F88">
              <w:rPr>
                <w:bCs/>
              </w:rPr>
              <w:t xml:space="preserve"> päeva jooksul Pakkuja poolt arve esitamisest.  Kauba üleandmise-vastuvõtmise akti kohustub vormistama pakkuja. Poolte esindajate poolt allkirjastatud üleandmise-vastuvõtmise akt on aluseks arve väljastamisele.</w:t>
            </w:r>
          </w:p>
        </w:tc>
        <w:tc>
          <w:tcPr>
            <w:tcW w:w="998" w:type="pct"/>
            <w:tcBorders>
              <w:top w:val="single" w:sz="4" w:space="0" w:color="auto"/>
              <w:left w:val="single" w:sz="4" w:space="0" w:color="auto"/>
              <w:bottom w:val="single" w:sz="4" w:space="0" w:color="auto"/>
              <w:right w:val="single" w:sz="4" w:space="0" w:color="auto"/>
            </w:tcBorders>
          </w:tcPr>
          <w:p w14:paraId="03C88A1E" w14:textId="77777777" w:rsidR="00E5044A" w:rsidRPr="00827F88" w:rsidRDefault="00E5044A" w:rsidP="00E5044A">
            <w:pPr>
              <w:jc w:val="both"/>
              <w:rPr>
                <w:bCs/>
              </w:rPr>
            </w:pPr>
          </w:p>
        </w:tc>
      </w:tr>
    </w:tbl>
    <w:p w14:paraId="515BF42E" w14:textId="3B55B6BC" w:rsidR="001F0DFA" w:rsidRDefault="001F0DFA" w:rsidP="00827F88">
      <w:pPr>
        <w:jc w:val="both"/>
        <w:rPr>
          <w:b/>
          <w:iCs/>
        </w:rPr>
      </w:pPr>
    </w:p>
    <w:p w14:paraId="62500BC8" w14:textId="77777777" w:rsidR="00255AC5" w:rsidRPr="00C7325D" w:rsidRDefault="00255AC5" w:rsidP="00827F88">
      <w:pPr>
        <w:jc w:val="both"/>
        <w:rPr>
          <w:b/>
          <w:iCs/>
        </w:rPr>
      </w:pPr>
    </w:p>
    <w:p w14:paraId="6AEF2631" w14:textId="77777777" w:rsidR="008E18E4" w:rsidRDefault="008E18E4" w:rsidP="00416D56">
      <w:pPr>
        <w:jc w:val="both"/>
      </w:pPr>
    </w:p>
    <w:p w14:paraId="1446BFDF" w14:textId="76D0834F" w:rsidR="00416D56" w:rsidRDefault="00416D56" w:rsidP="00791563">
      <w:pPr>
        <w:spacing w:before="120"/>
        <w:jc w:val="both"/>
      </w:pPr>
      <w:r w:rsidRPr="00416D56">
        <w:t xml:space="preserve">Pakkujate pakkumused </w:t>
      </w:r>
      <w:r w:rsidR="003B56D9">
        <w:t xml:space="preserve">peavad olema jõus vähemalt </w:t>
      </w:r>
      <w:r w:rsidR="00C7325D">
        <w:t>6</w:t>
      </w:r>
      <w:r w:rsidR="007E6D94" w:rsidRPr="00264D91">
        <w:t>0</w:t>
      </w:r>
      <w:r w:rsidR="003B56D9" w:rsidRPr="00264D91">
        <w:t xml:space="preserve"> </w:t>
      </w:r>
      <w:r w:rsidRPr="00264D91">
        <w:t>kalendripäeva</w:t>
      </w:r>
      <w:r w:rsidRPr="00416D56">
        <w:t xml:space="preserve"> arvestatuna pakkumuste esitamise tähtpäevast.</w:t>
      </w:r>
    </w:p>
    <w:p w14:paraId="48930F7B" w14:textId="7B9AF2CD" w:rsidR="00416D56" w:rsidRDefault="00E452B5" w:rsidP="00791563">
      <w:pPr>
        <w:spacing w:before="120"/>
        <w:jc w:val="both"/>
      </w:pPr>
      <w:r>
        <w:t>Pakkumuse esitamisega pakkuja kinnitab, et tal puuduvad RHS § 95 lg 1-</w:t>
      </w:r>
      <w:r w:rsidR="0001516C">
        <w:t>4</w:t>
      </w:r>
      <w:r>
        <w:t xml:space="preserve"> nimetatud </w:t>
      </w:r>
      <w:r w:rsidR="00D84DFB">
        <w:t>kõrvaldamise alused.</w:t>
      </w:r>
    </w:p>
    <w:p w14:paraId="61FCB80A" w14:textId="19204DDA" w:rsidR="00441916" w:rsidRDefault="00441916" w:rsidP="00791563">
      <w:pPr>
        <w:spacing w:before="120"/>
        <w:jc w:val="both"/>
      </w:pPr>
      <w:r>
        <w:t xml:space="preserve">Pakkumuse esitamisega pakkuja kinnitab, et </w:t>
      </w:r>
      <w:r w:rsidR="009344FB">
        <w:t>pakkumus</w:t>
      </w:r>
      <w:r>
        <w:t xml:space="preserve"> vastab kõikidele käesolevast </w:t>
      </w:r>
      <w:r w:rsidR="00C7325D">
        <w:t>hankedokumendist</w:t>
      </w:r>
      <w:r>
        <w:t xml:space="preserve"> tulenevatele tingimustele ning et ta nõustub kõikide käesolevast dokumendist tulenevate tingimustega.</w:t>
      </w:r>
    </w:p>
    <w:p w14:paraId="24FB2E15" w14:textId="5323ADF9" w:rsidR="00827F88" w:rsidRDefault="00827F88" w:rsidP="00441916">
      <w:pPr>
        <w:jc w:val="both"/>
      </w:pPr>
    </w:p>
    <w:p w14:paraId="1AD61B33" w14:textId="77777777" w:rsidR="00827F88" w:rsidRDefault="00827F88" w:rsidP="00441916">
      <w:pPr>
        <w:jc w:val="both"/>
      </w:pPr>
    </w:p>
    <w:p w14:paraId="372D4C39" w14:textId="77777777" w:rsidR="00441916" w:rsidRDefault="00441916" w:rsidP="009D7A04">
      <w:pPr>
        <w:jc w:val="both"/>
      </w:pPr>
    </w:p>
    <w:p w14:paraId="44DC935A" w14:textId="77777777" w:rsidR="009D7A04" w:rsidRDefault="00FA44A9" w:rsidP="009D7A04">
      <w:pPr>
        <w:jc w:val="both"/>
      </w:pPr>
      <w:r>
        <w:t>Ametinimetus:</w:t>
      </w:r>
      <w:r w:rsidR="009D7A04" w:rsidRPr="00205701">
        <w:tab/>
        <w:t xml:space="preserve">  </w:t>
      </w:r>
      <w:r w:rsidR="009D7A04" w:rsidRPr="00441916">
        <w:t>....</w:t>
      </w:r>
      <w:r>
        <w:t xml:space="preserve">........................  </w:t>
      </w:r>
    </w:p>
    <w:p w14:paraId="5D0DB837" w14:textId="77777777" w:rsidR="00FA44A9" w:rsidRPr="00205701" w:rsidRDefault="00FA44A9" w:rsidP="009D7A04">
      <w:pPr>
        <w:jc w:val="both"/>
      </w:pPr>
    </w:p>
    <w:p w14:paraId="60A73EE9" w14:textId="77777777" w:rsidR="00BE7C30" w:rsidRDefault="00FA44A9" w:rsidP="00FA44A9">
      <w:pPr>
        <w:snapToGrid w:val="0"/>
        <w:spacing w:line="100" w:lineRule="atLeast"/>
        <w:rPr>
          <w:sz w:val="22"/>
          <w:szCs w:val="22"/>
          <w:lang w:eastAsia="en-US"/>
        </w:rPr>
      </w:pPr>
      <w:r>
        <w:rPr>
          <w:sz w:val="22"/>
          <w:szCs w:val="22"/>
          <w:lang w:eastAsia="en-US"/>
        </w:rPr>
        <w:t>Pakkumuse</w:t>
      </w:r>
      <w:r w:rsidRPr="00246647">
        <w:rPr>
          <w:sz w:val="22"/>
          <w:szCs w:val="22"/>
          <w:lang w:eastAsia="en-US"/>
        </w:rPr>
        <w:t xml:space="preserve"> koostaja kinnitab esitatud andmete õigsust (nimi ja allkiri):</w:t>
      </w:r>
      <w:r>
        <w:rPr>
          <w:sz w:val="22"/>
          <w:szCs w:val="22"/>
          <w:lang w:eastAsia="en-US"/>
        </w:rPr>
        <w:t xml:space="preserve"> ...............</w:t>
      </w:r>
      <w:r w:rsidR="00E03E82">
        <w:rPr>
          <w:sz w:val="22"/>
          <w:szCs w:val="22"/>
          <w:lang w:eastAsia="en-US"/>
        </w:rPr>
        <w:t>............</w:t>
      </w:r>
    </w:p>
    <w:p w14:paraId="7260EB9F" w14:textId="080FC939" w:rsidR="00FA44A9" w:rsidRPr="00246647" w:rsidRDefault="00FA44A9" w:rsidP="00FA44A9">
      <w:pPr>
        <w:snapToGrid w:val="0"/>
        <w:spacing w:line="100" w:lineRule="atLeast"/>
        <w:rPr>
          <w:sz w:val="22"/>
          <w:szCs w:val="22"/>
          <w:lang w:eastAsia="en-US"/>
        </w:rPr>
      </w:pPr>
      <w:r>
        <w:rPr>
          <w:sz w:val="22"/>
          <w:szCs w:val="22"/>
          <w:lang w:eastAsia="en-US"/>
        </w:rPr>
        <w:t xml:space="preserve"> /allkirjastatud digitaalselt/</w:t>
      </w:r>
    </w:p>
    <w:p w14:paraId="0B3C2435" w14:textId="77777777" w:rsidR="009F36EA" w:rsidRPr="00591CBA" w:rsidRDefault="003A606F" w:rsidP="00FA44A9">
      <w:pPr>
        <w:pStyle w:val="Title"/>
        <w:jc w:val="left"/>
        <w:rPr>
          <w:b w:val="0"/>
          <w:sz w:val="24"/>
          <w:szCs w:val="24"/>
        </w:rPr>
      </w:pPr>
    </w:p>
    <w:p w14:paraId="1D45B908" w14:textId="77777777" w:rsidR="008E5BB1" w:rsidRDefault="008E5BB1" w:rsidP="008E5BB1">
      <w:pPr>
        <w:pStyle w:val="Title"/>
        <w:jc w:val="left"/>
        <w:rPr>
          <w:b w:val="0"/>
          <w:sz w:val="24"/>
          <w:szCs w:val="24"/>
        </w:rPr>
      </w:pPr>
      <w:r w:rsidRPr="00591CBA">
        <w:rPr>
          <w:b w:val="0"/>
          <w:sz w:val="24"/>
          <w:szCs w:val="24"/>
        </w:rPr>
        <w:t>Allkirjastamise kuupäevaks loetakse digitaalallkirja kuupäeva.</w:t>
      </w:r>
    </w:p>
    <w:p w14:paraId="324D80FE" w14:textId="77777777" w:rsidR="002903F8" w:rsidRDefault="002903F8" w:rsidP="008E5BB1">
      <w:pPr>
        <w:pStyle w:val="Title"/>
        <w:jc w:val="left"/>
        <w:rPr>
          <w:b w:val="0"/>
          <w:sz w:val="24"/>
          <w:szCs w:val="24"/>
        </w:rPr>
      </w:pPr>
    </w:p>
    <w:p w14:paraId="5495892C" w14:textId="77777777" w:rsidR="002903F8" w:rsidRPr="008E5BB1" w:rsidRDefault="002903F8" w:rsidP="008E5BB1">
      <w:pPr>
        <w:pStyle w:val="Title"/>
        <w:jc w:val="left"/>
        <w:rPr>
          <w:b w:val="0"/>
        </w:rPr>
      </w:pPr>
    </w:p>
    <w:sectPr w:rsidR="002903F8" w:rsidRPr="008E5BB1" w:rsidSect="00272E4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A3B07" w14:textId="77777777" w:rsidR="003B2FAD" w:rsidRDefault="003B2FAD" w:rsidP="00416D56">
      <w:r>
        <w:separator/>
      </w:r>
    </w:p>
  </w:endnote>
  <w:endnote w:type="continuationSeparator" w:id="0">
    <w:p w14:paraId="1C0AE3C5" w14:textId="77777777" w:rsidR="003B2FAD" w:rsidRDefault="003B2FAD" w:rsidP="0041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13476" w14:textId="77777777" w:rsidR="003B2FAD" w:rsidRDefault="003B2FAD" w:rsidP="00416D56">
      <w:r>
        <w:separator/>
      </w:r>
    </w:p>
  </w:footnote>
  <w:footnote w:type="continuationSeparator" w:id="0">
    <w:p w14:paraId="6D55DB77" w14:textId="77777777" w:rsidR="003B2FAD" w:rsidRDefault="003B2FAD" w:rsidP="00416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575"/>
    <w:multiLevelType w:val="multilevel"/>
    <w:tmpl w:val="1DB29882"/>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b w:val="0"/>
      </w:rPr>
    </w:lvl>
    <w:lvl w:ilvl="2">
      <w:start w:val="1"/>
      <w:numFmt w:val="decimal"/>
      <w:lvlText w:val="%1.%2.%3."/>
      <w:lvlJc w:val="left"/>
      <w:pPr>
        <w:ind w:left="357" w:hanging="357"/>
      </w:pPr>
      <w:rPr>
        <w:rFonts w:hint="default"/>
        <w:b w:val="0"/>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01CD3300"/>
    <w:multiLevelType w:val="hybridMultilevel"/>
    <w:tmpl w:val="10062DC4"/>
    <w:lvl w:ilvl="0" w:tplc="CF5C76FC">
      <w:start w:val="1"/>
      <w:numFmt w:val="decimal"/>
      <w:lvlText w:val="%1."/>
      <w:lvlJc w:val="left"/>
      <w:pPr>
        <w:ind w:left="720" w:hanging="360"/>
      </w:pPr>
      <w:rPr>
        <w:rFonts w:hint="default"/>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58E46F9"/>
    <w:multiLevelType w:val="hybridMultilevel"/>
    <w:tmpl w:val="F65A8270"/>
    <w:lvl w:ilvl="0" w:tplc="79842E6A">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65C50BB"/>
    <w:multiLevelType w:val="hybridMultilevel"/>
    <w:tmpl w:val="3EC807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5A7127F"/>
    <w:multiLevelType w:val="multilevel"/>
    <w:tmpl w:val="4E34A9A6"/>
    <w:lvl w:ilvl="0">
      <w:start w:val="1"/>
      <w:numFmt w:val="decimal"/>
      <w:pStyle w:val="Heading1"/>
      <w:lvlText w:val="%1"/>
      <w:lvlJc w:val="left"/>
      <w:pPr>
        <w:tabs>
          <w:tab w:val="num" w:pos="360"/>
        </w:tabs>
        <w:ind w:left="284" w:hanging="284"/>
      </w:pPr>
      <w:rPr>
        <w:rFonts w:ascii="Times New Roman" w:hAnsi="Times New Roman" w:hint="default"/>
        <w:b/>
        <w:i w:val="0"/>
        <w:sz w:val="24"/>
        <w:szCs w:val="24"/>
      </w:rPr>
    </w:lvl>
    <w:lvl w:ilvl="1">
      <w:start w:val="1"/>
      <w:numFmt w:val="decimal"/>
      <w:pStyle w:val="Tase2"/>
      <w:lvlText w:val="%1.%2"/>
      <w:lvlJc w:val="left"/>
      <w:pPr>
        <w:tabs>
          <w:tab w:val="num" w:pos="851"/>
        </w:tabs>
        <w:ind w:left="851" w:hanging="567"/>
      </w:pPr>
      <w:rPr>
        <w:rFonts w:ascii="Times New Roman" w:eastAsia="Times New Roman" w:hAnsi="Times New Roman" w:cs="Times New Roman"/>
        <w:b/>
        <w:i w:val="0"/>
        <w:sz w:val="22"/>
        <w:szCs w:val="22"/>
      </w:rPr>
    </w:lvl>
    <w:lvl w:ilvl="2">
      <w:start w:val="1"/>
      <w:numFmt w:val="lowerLetter"/>
      <w:lvlText w:val="%3)"/>
      <w:lvlJc w:val="left"/>
      <w:pPr>
        <w:tabs>
          <w:tab w:val="num" w:pos="1588"/>
        </w:tabs>
        <w:ind w:left="1588" w:hanging="737"/>
      </w:pPr>
      <w:rPr>
        <w:rFonts w:ascii="Times New Roman" w:eastAsia="Times New Roman" w:hAnsi="Times New Roman" w:cs="Times New Roman"/>
        <w:b w:val="0"/>
        <w:i w:val="0"/>
        <w:color w:val="auto"/>
        <w:sz w:val="22"/>
        <w:szCs w:val="22"/>
      </w:rPr>
    </w:lvl>
    <w:lvl w:ilvl="3">
      <w:start w:val="1"/>
      <w:numFmt w:val="decimal"/>
      <w:lvlText w:val="%1.%2.%3.%4"/>
      <w:lvlJc w:val="left"/>
      <w:pPr>
        <w:tabs>
          <w:tab w:val="num" w:pos="2835"/>
        </w:tabs>
        <w:ind w:left="2835" w:hanging="1417"/>
      </w:pPr>
      <w:rPr>
        <w:b w:val="0"/>
        <w:i w:val="0"/>
        <w:sz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C800F22"/>
    <w:multiLevelType w:val="hybridMultilevel"/>
    <w:tmpl w:val="9474C8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B7E2B26"/>
    <w:multiLevelType w:val="hybridMultilevel"/>
    <w:tmpl w:val="0D5850E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7" w15:restartNumberingAfterBreak="0">
    <w:nsid w:val="60B25ECC"/>
    <w:multiLevelType w:val="hybridMultilevel"/>
    <w:tmpl w:val="65AE3EDA"/>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8" w15:restartNumberingAfterBreak="0">
    <w:nsid w:val="62EE1F38"/>
    <w:multiLevelType w:val="hybridMultilevel"/>
    <w:tmpl w:val="8E12B28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1005552"/>
    <w:multiLevelType w:val="multilevel"/>
    <w:tmpl w:val="1DB29882"/>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b w:val="0"/>
      </w:rPr>
    </w:lvl>
    <w:lvl w:ilvl="2">
      <w:start w:val="1"/>
      <w:numFmt w:val="decimal"/>
      <w:lvlText w:val="%1.%2.%3."/>
      <w:lvlJc w:val="left"/>
      <w:pPr>
        <w:ind w:left="357" w:hanging="357"/>
      </w:pPr>
      <w:rPr>
        <w:rFonts w:hint="default"/>
        <w:b w:val="0"/>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0" w15:restartNumberingAfterBreak="0">
    <w:nsid w:val="728535EB"/>
    <w:multiLevelType w:val="hybridMultilevel"/>
    <w:tmpl w:val="D990FF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749C58FB"/>
    <w:multiLevelType w:val="hybridMultilevel"/>
    <w:tmpl w:val="0AEEC0DE"/>
    <w:lvl w:ilvl="0" w:tplc="CF5C76FC">
      <w:start w:val="1"/>
      <w:numFmt w:val="decimal"/>
      <w:lvlText w:val="%1."/>
      <w:lvlJc w:val="left"/>
      <w:pPr>
        <w:ind w:left="720" w:hanging="360"/>
      </w:pPr>
      <w:rPr>
        <w:rFonts w:hint="default"/>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8331619"/>
    <w:multiLevelType w:val="hybridMultilevel"/>
    <w:tmpl w:val="AA68F0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BD14A90"/>
    <w:multiLevelType w:val="hybridMultilevel"/>
    <w:tmpl w:val="2B2EF8AA"/>
    <w:lvl w:ilvl="0" w:tplc="49966646">
      <w:start w:val="1"/>
      <w:numFmt w:val="bullet"/>
      <w:lvlText w:val=""/>
      <w:lvlJc w:val="left"/>
      <w:pPr>
        <w:tabs>
          <w:tab w:val="num" w:pos="1440"/>
        </w:tabs>
        <w:ind w:left="1440" w:hanging="360"/>
      </w:pPr>
      <w:rPr>
        <w:rFonts w:ascii="Symbol" w:hAnsi="Symbol" w:hint="default"/>
      </w:rPr>
    </w:lvl>
    <w:lvl w:ilvl="1" w:tplc="0425000F">
      <w:start w:val="1"/>
      <w:numFmt w:val="decimal"/>
      <w:lvlText w:val="%2."/>
      <w:lvlJc w:val="left"/>
      <w:pPr>
        <w:tabs>
          <w:tab w:val="num" w:pos="1440"/>
        </w:tabs>
        <w:ind w:left="1440" w:hanging="360"/>
      </w:pPr>
      <w:rPr>
        <w:rFonts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3"/>
  </w:num>
  <w:num w:numId="4">
    <w:abstractNumId w:val="8"/>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10"/>
  </w:num>
  <w:num w:numId="11">
    <w:abstractNumId w:val="2"/>
  </w:num>
  <w:num w:numId="12">
    <w:abstractNumId w:val="1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9FB"/>
    <w:rsid w:val="0000458B"/>
    <w:rsid w:val="000057EF"/>
    <w:rsid w:val="0001235F"/>
    <w:rsid w:val="00014F96"/>
    <w:rsid w:val="0001516C"/>
    <w:rsid w:val="00021963"/>
    <w:rsid w:val="000667E7"/>
    <w:rsid w:val="000756C1"/>
    <w:rsid w:val="00077DBF"/>
    <w:rsid w:val="00087C2B"/>
    <w:rsid w:val="00093758"/>
    <w:rsid w:val="000A115D"/>
    <w:rsid w:val="000C3013"/>
    <w:rsid w:val="000E2F27"/>
    <w:rsid w:val="000E414A"/>
    <w:rsid w:val="000F30E6"/>
    <w:rsid w:val="000F5C2C"/>
    <w:rsid w:val="000F69FB"/>
    <w:rsid w:val="0010423D"/>
    <w:rsid w:val="00104528"/>
    <w:rsid w:val="00143EB5"/>
    <w:rsid w:val="00154470"/>
    <w:rsid w:val="0019575E"/>
    <w:rsid w:val="001D2737"/>
    <w:rsid w:val="001E075F"/>
    <w:rsid w:val="001F0DFA"/>
    <w:rsid w:val="002145FE"/>
    <w:rsid w:val="00221CDD"/>
    <w:rsid w:val="00243F46"/>
    <w:rsid w:val="00255AC5"/>
    <w:rsid w:val="00264D91"/>
    <w:rsid w:val="00272E44"/>
    <w:rsid w:val="00277C8A"/>
    <w:rsid w:val="0028306D"/>
    <w:rsid w:val="00284F65"/>
    <w:rsid w:val="002903F8"/>
    <w:rsid w:val="00292F26"/>
    <w:rsid w:val="002C6631"/>
    <w:rsid w:val="002E7308"/>
    <w:rsid w:val="002F5696"/>
    <w:rsid w:val="002F6DDD"/>
    <w:rsid w:val="003156C7"/>
    <w:rsid w:val="0032238C"/>
    <w:rsid w:val="003249E5"/>
    <w:rsid w:val="00346ECD"/>
    <w:rsid w:val="00352735"/>
    <w:rsid w:val="003577F4"/>
    <w:rsid w:val="00380931"/>
    <w:rsid w:val="003A606F"/>
    <w:rsid w:val="003B2FAD"/>
    <w:rsid w:val="003B56D9"/>
    <w:rsid w:val="003D58DA"/>
    <w:rsid w:val="003E7955"/>
    <w:rsid w:val="004040AA"/>
    <w:rsid w:val="00404484"/>
    <w:rsid w:val="00416D56"/>
    <w:rsid w:val="004205B3"/>
    <w:rsid w:val="00433293"/>
    <w:rsid w:val="00441916"/>
    <w:rsid w:val="00442BBE"/>
    <w:rsid w:val="00454089"/>
    <w:rsid w:val="00462BDD"/>
    <w:rsid w:val="00464AC2"/>
    <w:rsid w:val="00482386"/>
    <w:rsid w:val="00492CFC"/>
    <w:rsid w:val="004A071C"/>
    <w:rsid w:val="004B7FC5"/>
    <w:rsid w:val="004F1F79"/>
    <w:rsid w:val="004F5A5B"/>
    <w:rsid w:val="00500180"/>
    <w:rsid w:val="00506893"/>
    <w:rsid w:val="00506F56"/>
    <w:rsid w:val="0051338E"/>
    <w:rsid w:val="005214FC"/>
    <w:rsid w:val="00531323"/>
    <w:rsid w:val="00550DCA"/>
    <w:rsid w:val="00555638"/>
    <w:rsid w:val="00557660"/>
    <w:rsid w:val="00574482"/>
    <w:rsid w:val="00583848"/>
    <w:rsid w:val="005870D4"/>
    <w:rsid w:val="00591CBA"/>
    <w:rsid w:val="00594953"/>
    <w:rsid w:val="005E60FF"/>
    <w:rsid w:val="005E76C0"/>
    <w:rsid w:val="00617748"/>
    <w:rsid w:val="00642039"/>
    <w:rsid w:val="00642E16"/>
    <w:rsid w:val="00647F33"/>
    <w:rsid w:val="00665F04"/>
    <w:rsid w:val="00674A29"/>
    <w:rsid w:val="00682D08"/>
    <w:rsid w:val="006A7013"/>
    <w:rsid w:val="006F2DF7"/>
    <w:rsid w:val="00730447"/>
    <w:rsid w:val="00734561"/>
    <w:rsid w:val="007360A5"/>
    <w:rsid w:val="00791563"/>
    <w:rsid w:val="00797836"/>
    <w:rsid w:val="007D6EFC"/>
    <w:rsid w:val="007D6F16"/>
    <w:rsid w:val="007E2547"/>
    <w:rsid w:val="007E6D94"/>
    <w:rsid w:val="007F6A85"/>
    <w:rsid w:val="00800C2A"/>
    <w:rsid w:val="00825F91"/>
    <w:rsid w:val="00827F88"/>
    <w:rsid w:val="008319C0"/>
    <w:rsid w:val="0083520B"/>
    <w:rsid w:val="00851871"/>
    <w:rsid w:val="00881865"/>
    <w:rsid w:val="008A15BF"/>
    <w:rsid w:val="008C07A2"/>
    <w:rsid w:val="008C43C8"/>
    <w:rsid w:val="008E18E4"/>
    <w:rsid w:val="008E5BB1"/>
    <w:rsid w:val="0091086E"/>
    <w:rsid w:val="009344FB"/>
    <w:rsid w:val="00945565"/>
    <w:rsid w:val="009532D8"/>
    <w:rsid w:val="00970B54"/>
    <w:rsid w:val="0097135D"/>
    <w:rsid w:val="009A3A57"/>
    <w:rsid w:val="009C7CB5"/>
    <w:rsid w:val="009D7A04"/>
    <w:rsid w:val="00A43EC8"/>
    <w:rsid w:val="00A4441C"/>
    <w:rsid w:val="00A5373E"/>
    <w:rsid w:val="00A777C9"/>
    <w:rsid w:val="00AB7953"/>
    <w:rsid w:val="00AD3694"/>
    <w:rsid w:val="00AD39A0"/>
    <w:rsid w:val="00B2150F"/>
    <w:rsid w:val="00B3416B"/>
    <w:rsid w:val="00B5240E"/>
    <w:rsid w:val="00B56338"/>
    <w:rsid w:val="00B56D63"/>
    <w:rsid w:val="00B74845"/>
    <w:rsid w:val="00BA04DD"/>
    <w:rsid w:val="00BA7C63"/>
    <w:rsid w:val="00BD11FF"/>
    <w:rsid w:val="00BE663D"/>
    <w:rsid w:val="00BE7C30"/>
    <w:rsid w:val="00C0615B"/>
    <w:rsid w:val="00C53AD8"/>
    <w:rsid w:val="00C7325D"/>
    <w:rsid w:val="00C7511A"/>
    <w:rsid w:val="00C92E51"/>
    <w:rsid w:val="00C960FD"/>
    <w:rsid w:val="00CE2354"/>
    <w:rsid w:val="00D0071C"/>
    <w:rsid w:val="00D11FD4"/>
    <w:rsid w:val="00D26581"/>
    <w:rsid w:val="00D33C7D"/>
    <w:rsid w:val="00D354CE"/>
    <w:rsid w:val="00D63620"/>
    <w:rsid w:val="00D71707"/>
    <w:rsid w:val="00D84DFB"/>
    <w:rsid w:val="00DA4544"/>
    <w:rsid w:val="00DB2984"/>
    <w:rsid w:val="00DB2DB7"/>
    <w:rsid w:val="00DB3873"/>
    <w:rsid w:val="00DB4906"/>
    <w:rsid w:val="00DC2511"/>
    <w:rsid w:val="00DD454C"/>
    <w:rsid w:val="00DE7570"/>
    <w:rsid w:val="00E0095E"/>
    <w:rsid w:val="00E03E82"/>
    <w:rsid w:val="00E2131A"/>
    <w:rsid w:val="00E3490A"/>
    <w:rsid w:val="00E365F6"/>
    <w:rsid w:val="00E4285F"/>
    <w:rsid w:val="00E452B5"/>
    <w:rsid w:val="00E5044A"/>
    <w:rsid w:val="00E50F3A"/>
    <w:rsid w:val="00EA0D34"/>
    <w:rsid w:val="00EB77FA"/>
    <w:rsid w:val="00EC77DE"/>
    <w:rsid w:val="00F04E46"/>
    <w:rsid w:val="00F36850"/>
    <w:rsid w:val="00F37A8F"/>
    <w:rsid w:val="00F449DB"/>
    <w:rsid w:val="00F67C44"/>
    <w:rsid w:val="00F75614"/>
    <w:rsid w:val="00F826FD"/>
    <w:rsid w:val="00FA3FC1"/>
    <w:rsid w:val="00FA4200"/>
    <w:rsid w:val="00FA44A9"/>
    <w:rsid w:val="00FB0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03C57"/>
  <w15:chartTrackingRefBased/>
  <w15:docId w15:val="{F4A2B9A7-CDAF-4A48-A1CC-1B37004D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9FB"/>
    <w:pPr>
      <w:autoSpaceDE w:val="0"/>
      <w:autoSpaceDN w:val="0"/>
      <w:spacing w:after="0" w:line="240" w:lineRule="auto"/>
    </w:pPr>
    <w:rPr>
      <w:rFonts w:ascii="Times New Roman" w:eastAsia="Times New Roman" w:hAnsi="Times New Roman" w:cs="Times New Roman"/>
      <w:sz w:val="24"/>
      <w:szCs w:val="24"/>
      <w:lang w:val="et-EE" w:eastAsia="et-EE"/>
    </w:rPr>
  </w:style>
  <w:style w:type="paragraph" w:styleId="Heading1">
    <w:name w:val="heading 1"/>
    <w:basedOn w:val="Normal"/>
    <w:next w:val="Normal"/>
    <w:link w:val="Heading1Char"/>
    <w:qFormat/>
    <w:rsid w:val="002903F8"/>
    <w:pPr>
      <w:keepNext/>
      <w:numPr>
        <w:numId w:val="9"/>
      </w:numPr>
      <w:autoSpaceDE/>
      <w:autoSpaceDN/>
      <w:spacing w:before="240" w:after="60"/>
      <w:outlineLvl w:val="0"/>
    </w:pPr>
    <w:rPr>
      <w:rFonts w:ascii="Arial" w:hAnsi="Arial"/>
      <w:b/>
      <w:kern w:val="28"/>
      <w:sz w:val="2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674A29"/>
    <w:pPr>
      <w:autoSpaceDE/>
      <w:autoSpaceDN/>
      <w:spacing w:after="200"/>
    </w:pPr>
    <w:rPr>
      <w:rFonts w:ascii="Calibri" w:eastAsiaTheme="minorHAnsi" w:hAnsi="Calibri" w:cs="Calibri"/>
      <w:i/>
      <w:iCs/>
      <w:color w:val="44546A" w:themeColor="text2"/>
      <w:sz w:val="18"/>
      <w:szCs w:val="18"/>
      <w:lang w:eastAsia="en-US"/>
    </w:rPr>
  </w:style>
  <w:style w:type="paragraph" w:styleId="Title">
    <w:name w:val="Title"/>
    <w:basedOn w:val="Normal"/>
    <w:link w:val="TitleChar"/>
    <w:uiPriority w:val="10"/>
    <w:qFormat/>
    <w:rsid w:val="00674A29"/>
    <w:pPr>
      <w:autoSpaceDE/>
      <w:autoSpaceDN/>
      <w:jc w:val="center"/>
    </w:pPr>
    <w:rPr>
      <w:rFonts w:eastAsiaTheme="minorHAnsi"/>
      <w:b/>
      <w:bCs/>
      <w:sz w:val="28"/>
      <w:szCs w:val="28"/>
      <w:lang w:eastAsia="en-US"/>
    </w:rPr>
  </w:style>
  <w:style w:type="character" w:customStyle="1" w:styleId="TitleChar">
    <w:name w:val="Title Char"/>
    <w:basedOn w:val="DefaultParagraphFont"/>
    <w:link w:val="Title"/>
    <w:uiPriority w:val="10"/>
    <w:rsid w:val="00674A29"/>
    <w:rPr>
      <w:rFonts w:ascii="Times New Roman" w:hAnsi="Times New Roman" w:cs="Times New Roman"/>
      <w:b/>
      <w:bCs/>
      <w:sz w:val="28"/>
      <w:szCs w:val="28"/>
      <w:lang w:val="et-EE"/>
    </w:rPr>
  </w:style>
  <w:style w:type="character" w:styleId="Hyperlink">
    <w:name w:val="Hyperlink"/>
    <w:basedOn w:val="DefaultParagraphFont"/>
    <w:uiPriority w:val="99"/>
    <w:unhideWhenUsed/>
    <w:rsid w:val="00EC77DE"/>
    <w:rPr>
      <w:color w:val="0563C1" w:themeColor="hyperlink"/>
      <w:u w:val="single"/>
    </w:rPr>
  </w:style>
  <w:style w:type="character" w:styleId="CommentReference">
    <w:name w:val="annotation reference"/>
    <w:basedOn w:val="DefaultParagraphFont"/>
    <w:uiPriority w:val="99"/>
    <w:semiHidden/>
    <w:unhideWhenUsed/>
    <w:rsid w:val="005870D4"/>
    <w:rPr>
      <w:sz w:val="16"/>
      <w:szCs w:val="16"/>
    </w:rPr>
  </w:style>
  <w:style w:type="paragraph" w:styleId="CommentText">
    <w:name w:val="annotation text"/>
    <w:basedOn w:val="Normal"/>
    <w:link w:val="CommentTextChar"/>
    <w:uiPriority w:val="99"/>
    <w:unhideWhenUsed/>
    <w:rsid w:val="005870D4"/>
    <w:rPr>
      <w:sz w:val="20"/>
      <w:szCs w:val="20"/>
    </w:rPr>
  </w:style>
  <w:style w:type="character" w:customStyle="1" w:styleId="CommentTextChar">
    <w:name w:val="Comment Text Char"/>
    <w:basedOn w:val="DefaultParagraphFont"/>
    <w:link w:val="CommentText"/>
    <w:uiPriority w:val="99"/>
    <w:rsid w:val="005870D4"/>
    <w:rPr>
      <w:rFonts w:ascii="Times New Roman" w:eastAsia="Times New Roman" w:hAnsi="Times New Roman" w:cs="Times New Roman"/>
      <w:sz w:val="20"/>
      <w:szCs w:val="20"/>
      <w:lang w:val="et-EE" w:eastAsia="et-EE"/>
    </w:rPr>
  </w:style>
  <w:style w:type="paragraph" w:styleId="BalloonText">
    <w:name w:val="Balloon Text"/>
    <w:basedOn w:val="Normal"/>
    <w:link w:val="BalloonTextChar"/>
    <w:uiPriority w:val="99"/>
    <w:semiHidden/>
    <w:unhideWhenUsed/>
    <w:rsid w:val="005870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0D4"/>
    <w:rPr>
      <w:rFonts w:ascii="Segoe UI" w:eastAsia="Times New Roman" w:hAnsi="Segoe UI" w:cs="Segoe UI"/>
      <w:sz w:val="18"/>
      <w:szCs w:val="18"/>
      <w:lang w:val="et-EE" w:eastAsia="et-EE"/>
    </w:rPr>
  </w:style>
  <w:style w:type="paragraph" w:styleId="CommentSubject">
    <w:name w:val="annotation subject"/>
    <w:basedOn w:val="CommentText"/>
    <w:next w:val="CommentText"/>
    <w:link w:val="CommentSubjectChar"/>
    <w:uiPriority w:val="99"/>
    <w:semiHidden/>
    <w:unhideWhenUsed/>
    <w:rsid w:val="0001235F"/>
    <w:rPr>
      <w:b/>
      <w:bCs/>
    </w:rPr>
  </w:style>
  <w:style w:type="character" w:customStyle="1" w:styleId="CommentSubjectChar">
    <w:name w:val="Comment Subject Char"/>
    <w:basedOn w:val="CommentTextChar"/>
    <w:link w:val="CommentSubject"/>
    <w:uiPriority w:val="99"/>
    <w:semiHidden/>
    <w:rsid w:val="0001235F"/>
    <w:rPr>
      <w:rFonts w:ascii="Times New Roman" w:eastAsia="Times New Roman" w:hAnsi="Times New Roman" w:cs="Times New Roman"/>
      <w:b/>
      <w:bCs/>
      <w:sz w:val="20"/>
      <w:szCs w:val="20"/>
      <w:lang w:val="et-EE" w:eastAsia="et-EE"/>
    </w:rPr>
  </w:style>
  <w:style w:type="paragraph" w:styleId="Header">
    <w:name w:val="header"/>
    <w:basedOn w:val="Normal"/>
    <w:link w:val="HeaderChar"/>
    <w:uiPriority w:val="99"/>
    <w:unhideWhenUsed/>
    <w:rsid w:val="00416D56"/>
    <w:pPr>
      <w:tabs>
        <w:tab w:val="center" w:pos="4513"/>
        <w:tab w:val="right" w:pos="9026"/>
      </w:tabs>
    </w:pPr>
  </w:style>
  <w:style w:type="character" w:customStyle="1" w:styleId="HeaderChar">
    <w:name w:val="Header Char"/>
    <w:basedOn w:val="DefaultParagraphFont"/>
    <w:link w:val="Header"/>
    <w:uiPriority w:val="99"/>
    <w:rsid w:val="00416D56"/>
    <w:rPr>
      <w:rFonts w:ascii="Times New Roman" w:eastAsia="Times New Roman" w:hAnsi="Times New Roman" w:cs="Times New Roman"/>
      <w:sz w:val="24"/>
      <w:szCs w:val="24"/>
      <w:lang w:val="et-EE" w:eastAsia="et-EE"/>
    </w:rPr>
  </w:style>
  <w:style w:type="paragraph" w:styleId="Footer">
    <w:name w:val="footer"/>
    <w:basedOn w:val="Normal"/>
    <w:link w:val="FooterChar"/>
    <w:uiPriority w:val="99"/>
    <w:unhideWhenUsed/>
    <w:rsid w:val="00416D56"/>
    <w:pPr>
      <w:tabs>
        <w:tab w:val="center" w:pos="4513"/>
        <w:tab w:val="right" w:pos="9026"/>
      </w:tabs>
    </w:pPr>
  </w:style>
  <w:style w:type="character" w:customStyle="1" w:styleId="FooterChar">
    <w:name w:val="Footer Char"/>
    <w:basedOn w:val="DefaultParagraphFont"/>
    <w:link w:val="Footer"/>
    <w:uiPriority w:val="99"/>
    <w:rsid w:val="00416D56"/>
    <w:rPr>
      <w:rFonts w:ascii="Times New Roman" w:eastAsia="Times New Roman" w:hAnsi="Times New Roman" w:cs="Times New Roman"/>
      <w:sz w:val="24"/>
      <w:szCs w:val="24"/>
      <w:lang w:val="et-EE" w:eastAsia="et-EE"/>
    </w:rPr>
  </w:style>
  <w:style w:type="character" w:customStyle="1" w:styleId="Heading1Char">
    <w:name w:val="Heading 1 Char"/>
    <w:basedOn w:val="DefaultParagraphFont"/>
    <w:link w:val="Heading1"/>
    <w:rsid w:val="002903F8"/>
    <w:rPr>
      <w:rFonts w:ascii="Arial" w:eastAsia="Times New Roman" w:hAnsi="Arial" w:cs="Times New Roman"/>
      <w:b/>
      <w:kern w:val="28"/>
      <w:szCs w:val="20"/>
      <w:lang w:val="x-none" w:eastAsia="x-none"/>
    </w:rPr>
  </w:style>
  <w:style w:type="paragraph" w:customStyle="1" w:styleId="Tase2">
    <w:name w:val="Tase 2"/>
    <w:basedOn w:val="Normal"/>
    <w:rsid w:val="002903F8"/>
    <w:pPr>
      <w:numPr>
        <w:ilvl w:val="1"/>
        <w:numId w:val="9"/>
      </w:numPr>
      <w:autoSpaceDE/>
      <w:autoSpaceDN/>
      <w:spacing w:before="120"/>
    </w:pPr>
    <w:rPr>
      <w:rFonts w:ascii="Garamond" w:hAnsi="Garamond"/>
      <w:sz w:val="22"/>
      <w:szCs w:val="20"/>
    </w:rPr>
  </w:style>
  <w:style w:type="paragraph" w:styleId="ListParagraph">
    <w:name w:val="List Paragraph"/>
    <w:basedOn w:val="Normal"/>
    <w:uiPriority w:val="34"/>
    <w:qFormat/>
    <w:rsid w:val="00255A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839991">
      <w:bodyDiv w:val="1"/>
      <w:marLeft w:val="0"/>
      <w:marRight w:val="0"/>
      <w:marTop w:val="0"/>
      <w:marBottom w:val="0"/>
      <w:divBdr>
        <w:top w:val="none" w:sz="0" w:space="0" w:color="auto"/>
        <w:left w:val="none" w:sz="0" w:space="0" w:color="auto"/>
        <w:bottom w:val="none" w:sz="0" w:space="0" w:color="auto"/>
        <w:right w:val="none" w:sz="0" w:space="0" w:color="auto"/>
      </w:divBdr>
    </w:div>
    <w:div w:id="704716909">
      <w:bodyDiv w:val="1"/>
      <w:marLeft w:val="0"/>
      <w:marRight w:val="0"/>
      <w:marTop w:val="0"/>
      <w:marBottom w:val="0"/>
      <w:divBdr>
        <w:top w:val="none" w:sz="0" w:space="0" w:color="auto"/>
        <w:left w:val="none" w:sz="0" w:space="0" w:color="auto"/>
        <w:bottom w:val="none" w:sz="0" w:space="0" w:color="auto"/>
        <w:right w:val="none" w:sz="0" w:space="0" w:color="auto"/>
      </w:divBdr>
    </w:div>
    <w:div w:id="1129517593">
      <w:bodyDiv w:val="1"/>
      <w:marLeft w:val="0"/>
      <w:marRight w:val="0"/>
      <w:marTop w:val="0"/>
      <w:marBottom w:val="0"/>
      <w:divBdr>
        <w:top w:val="none" w:sz="0" w:space="0" w:color="auto"/>
        <w:left w:val="none" w:sz="0" w:space="0" w:color="auto"/>
        <w:bottom w:val="none" w:sz="0" w:space="0" w:color="auto"/>
        <w:right w:val="none" w:sz="0" w:space="0" w:color="auto"/>
      </w:divBdr>
    </w:div>
    <w:div w:id="1552378307">
      <w:bodyDiv w:val="1"/>
      <w:marLeft w:val="0"/>
      <w:marRight w:val="0"/>
      <w:marTop w:val="0"/>
      <w:marBottom w:val="0"/>
      <w:divBdr>
        <w:top w:val="none" w:sz="0" w:space="0" w:color="auto"/>
        <w:left w:val="none" w:sz="0" w:space="0" w:color="auto"/>
        <w:bottom w:val="none" w:sz="0" w:space="0" w:color="auto"/>
        <w:right w:val="none" w:sz="0" w:space="0" w:color="auto"/>
      </w:divBdr>
    </w:div>
    <w:div w:id="1914580826">
      <w:bodyDiv w:val="1"/>
      <w:marLeft w:val="0"/>
      <w:marRight w:val="0"/>
      <w:marTop w:val="0"/>
      <w:marBottom w:val="0"/>
      <w:divBdr>
        <w:top w:val="none" w:sz="0" w:space="0" w:color="auto"/>
        <w:left w:val="none" w:sz="0" w:space="0" w:color="auto"/>
        <w:bottom w:val="none" w:sz="0" w:space="0" w:color="auto"/>
        <w:right w:val="none" w:sz="0" w:space="0" w:color="auto"/>
      </w:divBdr>
    </w:div>
    <w:div w:id="1952668997">
      <w:bodyDiv w:val="1"/>
      <w:marLeft w:val="0"/>
      <w:marRight w:val="0"/>
      <w:marTop w:val="0"/>
      <w:marBottom w:val="0"/>
      <w:divBdr>
        <w:top w:val="none" w:sz="0" w:space="0" w:color="auto"/>
        <w:left w:val="none" w:sz="0" w:space="0" w:color="auto"/>
        <w:bottom w:val="none" w:sz="0" w:space="0" w:color="auto"/>
        <w:right w:val="none" w:sz="0" w:space="0" w:color="auto"/>
      </w:divBdr>
    </w:div>
    <w:div w:id="210576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jmh.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igla@jmh.ee" TargetMode="External"/><Relationship Id="rId5" Type="http://schemas.openxmlformats.org/officeDocument/2006/relationships/styles" Target="styles.xml"/><Relationship Id="rId10" Type="http://schemas.openxmlformats.org/officeDocument/2006/relationships/hyperlink" Target="mailto:haigla@jmh.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A6CE8565CB344393B8937B15233687" ma:contentTypeVersion="10" ma:contentTypeDescription="Create a new document." ma:contentTypeScope="" ma:versionID="6e442b17f50c486b003bac016574fac5">
  <xsd:schema xmlns:xsd="http://www.w3.org/2001/XMLSchema" xmlns:xs="http://www.w3.org/2001/XMLSchema" xmlns:p="http://schemas.microsoft.com/office/2006/metadata/properties" xmlns:ns3="d3db763c-6f13-437d-be94-86487e50383b" xmlns:ns4="69162fb3-ab76-467a-9bd5-f6e50a39d9fc" targetNamespace="http://schemas.microsoft.com/office/2006/metadata/properties" ma:root="true" ma:fieldsID="50349f023b09da8d9b31f54c5753b63e" ns3:_="" ns4:_="">
    <xsd:import namespace="d3db763c-6f13-437d-be94-86487e50383b"/>
    <xsd:import namespace="69162fb3-ab76-467a-9bd5-f6e50a39d9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b763c-6f13-437d-be94-86487e503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162fb3-ab76-467a-9bd5-f6e50a39d9f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702062-54BB-48C9-A4C3-23809DE886FC}">
  <ds:schemaRefs>
    <ds:schemaRef ds:uri="69162fb3-ab76-467a-9bd5-f6e50a39d9fc"/>
    <ds:schemaRef ds:uri="http://schemas.microsoft.com/office/2006/documentManagement/types"/>
    <ds:schemaRef ds:uri="http://schemas.microsoft.com/office/infopath/2007/PartnerControls"/>
    <ds:schemaRef ds:uri="http://purl.org/dc/elements/1.1/"/>
    <ds:schemaRef ds:uri="http://schemas.microsoft.com/office/2006/metadata/properties"/>
    <ds:schemaRef ds:uri="d3db763c-6f13-437d-be94-86487e50383b"/>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114CD04-B0E2-4350-AB00-528A406484CD}">
  <ds:schemaRefs>
    <ds:schemaRef ds:uri="http://schemas.microsoft.com/sharepoint/v3/contenttype/forms"/>
  </ds:schemaRefs>
</ds:datastoreItem>
</file>

<file path=customXml/itemProps3.xml><?xml version="1.0" encoding="utf-8"?>
<ds:datastoreItem xmlns:ds="http://schemas.openxmlformats.org/officeDocument/2006/customXml" ds:itemID="{610C54B8-D756-4A20-8C1A-65B34781C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b763c-6f13-437d-be94-86487e50383b"/>
    <ds:schemaRef ds:uri="69162fb3-ab76-467a-9bd5-f6e50a39d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892</Words>
  <Characters>5179</Characters>
  <Application>Microsoft Office Word</Application>
  <DocSecurity>0</DocSecurity>
  <Lines>43</Lines>
  <Paragraphs>12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SC1511</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Reinla</dc:creator>
  <cp:keywords/>
  <dc:description/>
  <cp:lastModifiedBy>Asta Reinla - JMH</cp:lastModifiedBy>
  <cp:revision>4</cp:revision>
  <dcterms:created xsi:type="dcterms:W3CDTF">2023-03-07T11:50:00Z</dcterms:created>
  <dcterms:modified xsi:type="dcterms:W3CDTF">2023-03-07T11:57:00Z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0x010100FCA6CE8565CB344393B8937B15233687</vt:lpwstr>
  </property>
</Properties>
</file>