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8B324" w14:textId="12D2F90F" w:rsidR="0091086E" w:rsidRPr="0091086E" w:rsidRDefault="0091086E" w:rsidP="000F69FB">
      <w:pPr>
        <w:rPr>
          <w:b/>
        </w:rPr>
      </w:pPr>
      <w:r w:rsidRPr="0091086E">
        <w:rPr>
          <w:b/>
        </w:rPr>
        <w:t>Hankedokument</w:t>
      </w:r>
    </w:p>
    <w:p w14:paraId="42A97DBB" w14:textId="77777777" w:rsidR="0091086E" w:rsidRDefault="0091086E" w:rsidP="000F69FB"/>
    <w:p w14:paraId="70475AFB" w14:textId="4CC62EDC" w:rsidR="000F69FB" w:rsidRPr="006C782A" w:rsidRDefault="0091086E" w:rsidP="000F69FB">
      <w:pPr>
        <w:rPr>
          <w:b/>
        </w:rPr>
      </w:pPr>
      <w:r w:rsidRPr="006C782A">
        <w:t xml:space="preserve">Hankija: </w:t>
      </w:r>
      <w:r w:rsidR="000F69FB" w:rsidRPr="006C782A">
        <w:rPr>
          <w:b/>
        </w:rPr>
        <w:t xml:space="preserve">Aktsiaselts </w:t>
      </w:r>
      <w:r w:rsidR="000E2F27" w:rsidRPr="006C782A">
        <w:rPr>
          <w:b/>
        </w:rPr>
        <w:t>Järvamaa</w:t>
      </w:r>
      <w:r w:rsidR="000F69FB" w:rsidRPr="006C782A">
        <w:rPr>
          <w:b/>
        </w:rPr>
        <w:t xml:space="preserve"> Haigla</w:t>
      </w:r>
    </w:p>
    <w:p w14:paraId="7C7A32C3" w14:textId="31410445" w:rsidR="000F69FB" w:rsidRPr="006C782A" w:rsidRDefault="0091086E" w:rsidP="000F69FB">
      <w:pPr>
        <w:rPr>
          <w:b/>
        </w:rPr>
      </w:pPr>
      <w:r w:rsidRPr="006C782A">
        <w:t xml:space="preserve">Hanke nimetus: </w:t>
      </w:r>
      <w:r w:rsidR="000F69FB" w:rsidRPr="006C782A">
        <w:rPr>
          <w:b/>
        </w:rPr>
        <w:t>„</w:t>
      </w:r>
      <w:r w:rsidR="00407D7B" w:rsidRPr="006C782A">
        <w:rPr>
          <w:b/>
        </w:rPr>
        <w:t>Kardiotokograafia keskjälgimissüsteem</w:t>
      </w:r>
      <w:r w:rsidR="000F69FB" w:rsidRPr="006C782A">
        <w:rPr>
          <w:b/>
        </w:rPr>
        <w:t>“</w:t>
      </w:r>
    </w:p>
    <w:p w14:paraId="76FA4C1C" w14:textId="77777777" w:rsidR="000F69FB" w:rsidRPr="006C782A" w:rsidRDefault="000F69FB" w:rsidP="000F69FB">
      <w:pPr>
        <w:tabs>
          <w:tab w:val="left" w:pos="7938"/>
        </w:tabs>
      </w:pPr>
    </w:p>
    <w:p w14:paraId="7B46D650" w14:textId="66E6518D" w:rsidR="000F69FB" w:rsidRPr="006C782A" w:rsidRDefault="00730447" w:rsidP="000F69FB">
      <w:pPr>
        <w:tabs>
          <w:tab w:val="left" w:pos="7938"/>
        </w:tabs>
        <w:jc w:val="both"/>
        <w:rPr>
          <w:b/>
          <w:bCs/>
        </w:rPr>
      </w:pPr>
      <w:r w:rsidRPr="006C782A">
        <w:rPr>
          <w:b/>
          <w:bCs/>
        </w:rPr>
        <w:t>Hanke tehnilin</w:t>
      </w:r>
      <w:r w:rsidR="000F69FB" w:rsidRPr="006C782A">
        <w:rPr>
          <w:b/>
          <w:bCs/>
        </w:rPr>
        <w:t xml:space="preserve">e </w:t>
      </w:r>
      <w:r w:rsidRPr="006C782A">
        <w:rPr>
          <w:b/>
          <w:bCs/>
        </w:rPr>
        <w:t>kirjeldus</w:t>
      </w:r>
      <w:r w:rsidR="000F69FB" w:rsidRPr="006C782A">
        <w:rPr>
          <w:b/>
          <w:bCs/>
        </w:rPr>
        <w:t xml:space="preserve">, pakkumusevorm ja Pakkuja </w:t>
      </w:r>
      <w:r w:rsidR="000F69FB" w:rsidRPr="006C782A">
        <w:rPr>
          <w:b/>
        </w:rPr>
        <w:t xml:space="preserve">....................................... </w:t>
      </w:r>
      <w:r w:rsidR="000F69FB" w:rsidRPr="006C782A">
        <w:rPr>
          <w:b/>
          <w:bCs/>
        </w:rPr>
        <w:t>kinnitused, et Pakkumus vastab Hankija poolt</w:t>
      </w:r>
      <w:r w:rsidR="005870D4" w:rsidRPr="006C782A">
        <w:rPr>
          <w:b/>
          <w:bCs/>
        </w:rPr>
        <w:t xml:space="preserve"> käesolevas dokumendis</w:t>
      </w:r>
      <w:r w:rsidR="000F69FB" w:rsidRPr="006C782A">
        <w:rPr>
          <w:b/>
          <w:bCs/>
        </w:rPr>
        <w:t xml:space="preserve"> esitatud tingimustele</w:t>
      </w:r>
      <w:r w:rsidR="005870D4" w:rsidRPr="006C782A">
        <w:rPr>
          <w:b/>
          <w:bCs/>
        </w:rPr>
        <w:t>.</w:t>
      </w:r>
    </w:p>
    <w:p w14:paraId="4B064658" w14:textId="77777777" w:rsidR="0091086E" w:rsidRPr="006C782A" w:rsidRDefault="0091086E" w:rsidP="000F69FB">
      <w:pPr>
        <w:tabs>
          <w:tab w:val="left" w:pos="7938"/>
        </w:tabs>
        <w:jc w:val="both"/>
        <w:rPr>
          <w:b/>
          <w:bCs/>
        </w:rPr>
      </w:pPr>
    </w:p>
    <w:p w14:paraId="6DFAFBC0" w14:textId="426752CA" w:rsidR="00E0095E" w:rsidRPr="006C782A" w:rsidRDefault="005870D4" w:rsidP="000F69FB">
      <w:pPr>
        <w:tabs>
          <w:tab w:val="left" w:pos="7938"/>
        </w:tabs>
        <w:jc w:val="both"/>
      </w:pPr>
      <w:r w:rsidRPr="006C782A">
        <w:t xml:space="preserve">Aktsiaselts </w:t>
      </w:r>
      <w:r w:rsidR="000E2F27" w:rsidRPr="006C782A">
        <w:t>Järvamaa</w:t>
      </w:r>
      <w:r w:rsidRPr="006C782A">
        <w:t xml:space="preserve"> Haigla kutsub kõiki hankest huvitatud isikuid ja võimalikke pakkujaid osalema </w:t>
      </w:r>
      <w:r w:rsidR="000E2F27" w:rsidRPr="006C782A">
        <w:t>alla lihthanke piirmäära jääval riigi</w:t>
      </w:r>
      <w:r w:rsidRPr="006C782A">
        <w:t>hankel „</w:t>
      </w:r>
      <w:r w:rsidR="00407D7B" w:rsidRPr="006C782A">
        <w:t>Kardiotokograafia keskjälgimissüsteem</w:t>
      </w:r>
      <w:r w:rsidR="00C53AD8" w:rsidRPr="006C782A">
        <w:t>“, millise objektiks on käesolevatest tehnilisest tingimustest tulenevatele nõuetele vastava</w:t>
      </w:r>
      <w:r w:rsidR="00C7511A" w:rsidRPr="006C782A">
        <w:t xml:space="preserve"> </w:t>
      </w:r>
      <w:r w:rsidR="00407D7B" w:rsidRPr="006C782A">
        <w:t>tarkvara koos hoolduslitsentsi, kaugtoe ja serveri hooldusega</w:t>
      </w:r>
      <w:r w:rsidR="00C53AD8" w:rsidRPr="006C782A">
        <w:t>. Hankeobjektiks oleva seadme tehnilise kirjelduse ning hankelepingu oluliste tingimustega palume tutvuda käesolevas</w:t>
      </w:r>
      <w:r w:rsidR="00500180" w:rsidRPr="006C782A">
        <w:t xml:space="preserve"> hankedokumendis</w:t>
      </w:r>
      <w:r w:rsidR="00C53AD8" w:rsidRPr="006C782A">
        <w:t>.</w:t>
      </w:r>
    </w:p>
    <w:p w14:paraId="2B0A20D5" w14:textId="77777777" w:rsidR="00F826FD" w:rsidRPr="006C782A" w:rsidRDefault="00F826FD" w:rsidP="000F69FB">
      <w:pPr>
        <w:tabs>
          <w:tab w:val="left" w:pos="7938"/>
        </w:tabs>
        <w:jc w:val="both"/>
      </w:pPr>
    </w:p>
    <w:p w14:paraId="69942E9A" w14:textId="7CEA5A94" w:rsidR="005870D4" w:rsidRPr="006C782A" w:rsidRDefault="005870D4" w:rsidP="005870D4">
      <w:pPr>
        <w:tabs>
          <w:tab w:val="left" w:pos="7938"/>
        </w:tabs>
        <w:jc w:val="both"/>
      </w:pPr>
      <w:r w:rsidRPr="006C782A">
        <w:t>Pakkumused tuleb esitada elektronposti teel</w:t>
      </w:r>
      <w:r w:rsidRPr="006C782A">
        <w:rPr>
          <w:b/>
        </w:rPr>
        <w:t xml:space="preserve"> hiljemalt </w:t>
      </w:r>
      <w:r w:rsidR="00E00A32">
        <w:rPr>
          <w:b/>
        </w:rPr>
        <w:t>19</w:t>
      </w:r>
      <w:r w:rsidR="00617748" w:rsidRPr="006C782A">
        <w:rPr>
          <w:b/>
        </w:rPr>
        <w:t xml:space="preserve">. </w:t>
      </w:r>
      <w:r w:rsidR="006C782A">
        <w:rPr>
          <w:b/>
        </w:rPr>
        <w:t>veebruaril</w:t>
      </w:r>
      <w:r w:rsidRPr="006C782A">
        <w:rPr>
          <w:b/>
        </w:rPr>
        <w:t xml:space="preserve"> 20</w:t>
      </w:r>
      <w:r w:rsidR="000C3013" w:rsidRPr="006C782A">
        <w:rPr>
          <w:b/>
        </w:rPr>
        <w:t>2</w:t>
      </w:r>
      <w:r w:rsidR="006C782A">
        <w:rPr>
          <w:b/>
        </w:rPr>
        <w:t>4</w:t>
      </w:r>
      <w:r w:rsidRPr="006C782A">
        <w:rPr>
          <w:b/>
        </w:rPr>
        <w:t>.a kell</w:t>
      </w:r>
      <w:r w:rsidR="00617748" w:rsidRPr="006C782A">
        <w:rPr>
          <w:b/>
        </w:rPr>
        <w:t xml:space="preserve"> 1</w:t>
      </w:r>
      <w:r w:rsidR="00730447" w:rsidRPr="006C782A">
        <w:rPr>
          <w:b/>
        </w:rPr>
        <w:t>0</w:t>
      </w:r>
      <w:r w:rsidR="00617748" w:rsidRPr="006C782A">
        <w:rPr>
          <w:b/>
        </w:rPr>
        <w:t>:00</w:t>
      </w:r>
      <w:r w:rsidRPr="006C782A">
        <w:rPr>
          <w:b/>
        </w:rPr>
        <w:t xml:space="preserve"> aadressil</w:t>
      </w:r>
      <w:r w:rsidR="00730447" w:rsidRPr="006C782A">
        <w:rPr>
          <w:b/>
        </w:rPr>
        <w:t>e</w:t>
      </w:r>
      <w:r w:rsidRPr="006C782A">
        <w:rPr>
          <w:b/>
        </w:rPr>
        <w:t xml:space="preserve"> </w:t>
      </w:r>
      <w:hyperlink r:id="rId11" w:history="1">
        <w:r w:rsidR="000E2F27" w:rsidRPr="006C782A">
          <w:rPr>
            <w:rStyle w:val="Hyperlink"/>
            <w:b/>
          </w:rPr>
          <w:t>haigla@jmh.ee</w:t>
        </w:r>
      </w:hyperlink>
      <w:r w:rsidR="00642039" w:rsidRPr="006C782A">
        <w:rPr>
          <w:b/>
        </w:rPr>
        <w:t>.</w:t>
      </w:r>
      <w:r w:rsidRPr="006C782A">
        <w:rPr>
          <w:b/>
        </w:rPr>
        <w:t xml:space="preserve"> </w:t>
      </w:r>
      <w:r w:rsidRPr="006C782A">
        <w:t xml:space="preserve">Elektronkirja teemareale tuleb märkida </w:t>
      </w:r>
      <w:r w:rsidRPr="006C782A">
        <w:rPr>
          <w:i/>
        </w:rPr>
        <w:t>„</w:t>
      </w:r>
      <w:r w:rsidR="006C782A" w:rsidRPr="006C782A">
        <w:rPr>
          <w:i/>
        </w:rPr>
        <w:t>K</w:t>
      </w:r>
      <w:r w:rsidR="006C782A">
        <w:rPr>
          <w:i/>
        </w:rPr>
        <w:t>TG</w:t>
      </w:r>
      <w:r w:rsidR="006C782A" w:rsidRPr="006C782A">
        <w:rPr>
          <w:i/>
        </w:rPr>
        <w:t xml:space="preserve"> keskjälgimissüsteem</w:t>
      </w:r>
      <w:r w:rsidRPr="006C782A">
        <w:rPr>
          <w:i/>
        </w:rPr>
        <w:t>“</w:t>
      </w:r>
      <w:r w:rsidRPr="006C782A">
        <w:t>. Pakkumused, mis on esitatud paberkandjatel või millised ei ole saabunud käesolevas lõigus nimetatud elektronposti aadressile hiljemalt eelnimetatud tähtpäevaks</w:t>
      </w:r>
      <w:r w:rsidR="00730447" w:rsidRPr="006C782A">
        <w:t xml:space="preserve"> ja kellaajaks</w:t>
      </w:r>
      <w:r w:rsidRPr="006C782A">
        <w:t>, ei osale pakkumismenetluses. Tingimuslike pakkumuste esitamine ei ole lubatud. Tingimuslikud pakkumused kuuluvad viivitamatult tagasilükkamisele.</w:t>
      </w:r>
    </w:p>
    <w:p w14:paraId="74CCC2BA" w14:textId="77777777" w:rsidR="005870D4" w:rsidRPr="006C782A" w:rsidRDefault="005870D4" w:rsidP="005870D4">
      <w:pPr>
        <w:tabs>
          <w:tab w:val="left" w:pos="7938"/>
        </w:tabs>
        <w:jc w:val="both"/>
      </w:pPr>
    </w:p>
    <w:p w14:paraId="6E575247" w14:textId="7F673FE8" w:rsidR="005870D4" w:rsidRPr="006C782A" w:rsidRDefault="005870D4" w:rsidP="005870D4">
      <w:pPr>
        <w:tabs>
          <w:tab w:val="left" w:pos="7938"/>
        </w:tabs>
        <w:jc w:val="both"/>
      </w:pPr>
      <w:r w:rsidRPr="006C782A">
        <w:t>Kogu käesolevat hankemenetlust, hankeobjekt</w:t>
      </w:r>
      <w:r w:rsidR="009A3A57" w:rsidRPr="006C782A">
        <w:t>i</w:t>
      </w:r>
      <w:r w:rsidRPr="006C782A">
        <w:t xml:space="preserve"> puudutavaid tehnilisi ning muid hankemenetlusega seotud küsimusi puudutav suhtlus toimub üksnes elektrooniliste kandjate kaudu, pöördumisel aadressile </w:t>
      </w:r>
      <w:hyperlink r:id="rId12" w:history="1">
        <w:r w:rsidR="00827F88" w:rsidRPr="006C782A">
          <w:rPr>
            <w:rStyle w:val="Hyperlink"/>
          </w:rPr>
          <w:t>haigla@jmh.ee</w:t>
        </w:r>
      </w:hyperlink>
      <w:r w:rsidRPr="006C782A">
        <w:t xml:space="preserve">. Hankija teeb kõik käesolevast pakkumuste esitamise ettepanekust tulenevad küsimused ja/või tehnilise kirjelduse osas esitatud küsimused koos vastustega avalikult teatavaks hankija kodulehel aadressil </w:t>
      </w:r>
      <w:hyperlink r:id="rId13" w:history="1">
        <w:r w:rsidR="000E2F27" w:rsidRPr="006C782A">
          <w:rPr>
            <w:rStyle w:val="Hyperlink"/>
          </w:rPr>
          <w:t>www.jmh.ee</w:t>
        </w:r>
      </w:hyperlink>
      <w:r w:rsidRPr="006C782A">
        <w:t>, hangete teemalehel. Hankija ei avalikusta oma kodulehel konkreetse küsimuse esitanud ettevõtja ja/või tema esindaja nimesid.</w:t>
      </w:r>
    </w:p>
    <w:p w14:paraId="603BDC0D" w14:textId="77777777" w:rsidR="00827F88" w:rsidRPr="006C782A" w:rsidRDefault="00827F88" w:rsidP="005870D4">
      <w:pPr>
        <w:tabs>
          <w:tab w:val="left" w:pos="7938"/>
        </w:tabs>
        <w:jc w:val="both"/>
        <w:rPr>
          <w:b/>
        </w:rPr>
      </w:pPr>
    </w:p>
    <w:p w14:paraId="37E2356F" w14:textId="24205765" w:rsidR="00827F88" w:rsidRPr="006C782A" w:rsidRDefault="00827F88" w:rsidP="00827F88">
      <w:pPr>
        <w:tabs>
          <w:tab w:val="left" w:pos="7938"/>
        </w:tabs>
        <w:jc w:val="both"/>
      </w:pPr>
      <w:r w:rsidRPr="006C782A">
        <w:t>Hankija jätab endale õiguse astuda tähtaegselt käesolevast pakkumuste esitamise ettepanekust tulenevatele tingimustele vastavad pakkumused esitanud pakkujatega läbirääkimistesse pakutavate seadmete tarneaja, garantiijärgse hooldusteenuse osutamise võimalikkuse, tingimuste ning tasu suuruse ja seadmete maksumuse üle. Läbirääkimiste pidamise soovist ning täpsemast korrast teavitab hankija tähtaegselt pakkumused esitanud pakkujaid elektronkirja teel.</w:t>
      </w:r>
    </w:p>
    <w:p w14:paraId="50270662" w14:textId="6879CFA8" w:rsidR="009C7CB5" w:rsidRPr="006C782A" w:rsidRDefault="009C7CB5" w:rsidP="00827F88">
      <w:pPr>
        <w:tabs>
          <w:tab w:val="left" w:pos="7938"/>
        </w:tabs>
        <w:jc w:val="both"/>
      </w:pPr>
    </w:p>
    <w:p w14:paraId="042EBD52" w14:textId="680E1D50" w:rsidR="00416D56" w:rsidRPr="006C782A" w:rsidRDefault="00416D56" w:rsidP="00416D56">
      <w:pPr>
        <w:jc w:val="both"/>
      </w:pPr>
      <w:r w:rsidRPr="006C782A">
        <w:t>Pakkumuste hindamiskriteeriumiks on madalaim maksumus</w:t>
      </w:r>
      <w:r w:rsidR="000E2F27" w:rsidRPr="006C782A">
        <w:t>.</w:t>
      </w:r>
    </w:p>
    <w:p w14:paraId="79EFCED0" w14:textId="77777777" w:rsidR="00416D56" w:rsidRPr="006C782A" w:rsidRDefault="00416D56" w:rsidP="00416D56">
      <w:pPr>
        <w:jc w:val="both"/>
      </w:pPr>
    </w:p>
    <w:p w14:paraId="26B0A1F4" w14:textId="434645C7" w:rsidR="005870D4" w:rsidRPr="006C782A" w:rsidRDefault="00416D56" w:rsidP="00416D56">
      <w:pPr>
        <w:jc w:val="both"/>
      </w:pPr>
      <w:r w:rsidRPr="006C782A">
        <w:t>Hankija jätab endale õiguse kõikide pakkumuste tagasi lükkamiseks.</w:t>
      </w:r>
    </w:p>
    <w:p w14:paraId="63EA25D8" w14:textId="77777777" w:rsidR="00416D56" w:rsidRPr="006C782A" w:rsidRDefault="00416D56" w:rsidP="00416D56">
      <w:pPr>
        <w:jc w:val="both"/>
      </w:pPr>
    </w:p>
    <w:p w14:paraId="6141DC8A" w14:textId="76C8D6D3" w:rsidR="005870D4" w:rsidRPr="006C782A" w:rsidRDefault="005870D4" w:rsidP="005870D4">
      <w:pPr>
        <w:jc w:val="both"/>
      </w:pPr>
      <w:r w:rsidRPr="006C782A">
        <w:t xml:space="preserve">Eduka pakkujaga </w:t>
      </w:r>
      <w:r w:rsidR="00DE7570" w:rsidRPr="006C782A">
        <w:t>sõlmitakse hankeleping.</w:t>
      </w:r>
      <w:r w:rsidRPr="006C782A">
        <w:t xml:space="preserve"> </w:t>
      </w:r>
      <w:r w:rsidR="000756C1" w:rsidRPr="006C782A">
        <w:t>Poolte vahelisele</w:t>
      </w:r>
      <w:r w:rsidRPr="006C782A">
        <w:t xml:space="preserve"> hankelepingule kohaldatakse Eesti Vabariigi õigust. Hankelepingust tulenevad vaidlused lahendatakse eelkõige läbirääkimiste teel. Juhul kui lepingust tõusetunud vaidluste lahendamine ei ole läbirääkimiste teel võimalik, lahendatakse vaidlus esmases järjekorras </w:t>
      </w:r>
      <w:r w:rsidR="00730447" w:rsidRPr="006C782A">
        <w:t>Pärnu</w:t>
      </w:r>
      <w:r w:rsidRPr="006C782A">
        <w:t xml:space="preserve"> maakohtus.</w:t>
      </w:r>
    </w:p>
    <w:p w14:paraId="52A0EC69" w14:textId="029A6C36" w:rsidR="00DE7570" w:rsidRPr="006C782A" w:rsidRDefault="00DE7570" w:rsidP="005870D4">
      <w:pPr>
        <w:jc w:val="both"/>
      </w:pPr>
    </w:p>
    <w:p w14:paraId="2BF00C0C" w14:textId="3E302572" w:rsidR="00C7325D" w:rsidRPr="006C782A" w:rsidRDefault="00C7325D" w:rsidP="00C7325D">
      <w:pPr>
        <w:jc w:val="both"/>
      </w:pPr>
      <w:r w:rsidRPr="006C782A">
        <w:t>Pakkumus tuleb esitada vastavalt lisatud tehnilis</w:t>
      </w:r>
      <w:r w:rsidR="00791563" w:rsidRPr="006C782A">
        <w:t>t</w:t>
      </w:r>
      <w:r w:rsidRPr="006C782A">
        <w:t xml:space="preserve">ele </w:t>
      </w:r>
      <w:r w:rsidR="00403C48">
        <w:t>tingimustele</w:t>
      </w:r>
      <w:r w:rsidRPr="006C782A">
        <w:t>.</w:t>
      </w:r>
      <w:r w:rsidR="00C7511A" w:rsidRPr="006C782A">
        <w:t xml:space="preserve"> </w:t>
      </w:r>
    </w:p>
    <w:p w14:paraId="62F4B6A2" w14:textId="77777777" w:rsidR="00C7325D" w:rsidRPr="006C782A" w:rsidRDefault="00C7325D" w:rsidP="00827F88">
      <w:pPr>
        <w:jc w:val="both"/>
        <w:rPr>
          <w:b/>
        </w:rPr>
      </w:pPr>
    </w:p>
    <w:p w14:paraId="4A07DCF3" w14:textId="44DFD0C7" w:rsidR="00014F96" w:rsidRPr="006C782A" w:rsidRDefault="00E91299" w:rsidP="003A606F">
      <w:pPr>
        <w:tabs>
          <w:tab w:val="left" w:pos="7938"/>
        </w:tabs>
        <w:ind w:left="360"/>
        <w:rPr>
          <w:b/>
        </w:rPr>
      </w:pPr>
      <w:r w:rsidRPr="00E91299">
        <w:rPr>
          <w:b/>
          <w:u w:val="single"/>
        </w:rPr>
        <w:lastRenderedPageBreak/>
        <w:t xml:space="preserve">Kardiotokograafia keskjälgimissüsteem </w:t>
      </w:r>
      <w:r w:rsidR="00C7511A" w:rsidRPr="006C782A">
        <w:rPr>
          <w:b/>
        </w:rPr>
        <w:t xml:space="preserve">1 tk - </w:t>
      </w:r>
      <w:r w:rsidR="00442BBE" w:rsidRPr="006C782A">
        <w:rPr>
          <w:b/>
        </w:rPr>
        <w:t xml:space="preserve">hind koos </w:t>
      </w:r>
      <w:r>
        <w:rPr>
          <w:b/>
        </w:rPr>
        <w:t xml:space="preserve">hoolduslitsentsi, kaugtoe </w:t>
      </w:r>
      <w:r w:rsidR="00442BBE" w:rsidRPr="006C782A">
        <w:rPr>
          <w:b/>
        </w:rPr>
        <w:t xml:space="preserve">ja </w:t>
      </w:r>
      <w:r>
        <w:rPr>
          <w:b/>
        </w:rPr>
        <w:t>serveri hoolduse</w:t>
      </w:r>
      <w:r w:rsidR="00442BBE" w:rsidRPr="006C782A">
        <w:rPr>
          <w:b/>
        </w:rPr>
        <w:t xml:space="preserve">ga Hankijale: ................... </w:t>
      </w:r>
      <w:r w:rsidR="00014F96" w:rsidRPr="006C782A">
        <w:rPr>
          <w:b/>
        </w:rPr>
        <w:t>€ + käibemaks</w:t>
      </w:r>
    </w:p>
    <w:p w14:paraId="72E4F4FE" w14:textId="6EC4F116" w:rsidR="00442BBE" w:rsidRPr="006C782A" w:rsidRDefault="00442BBE" w:rsidP="00442BBE">
      <w:pPr>
        <w:tabs>
          <w:tab w:val="left" w:pos="7938"/>
        </w:tabs>
        <w:jc w:val="both"/>
        <w:rPr>
          <w:b/>
        </w:rPr>
      </w:pPr>
    </w:p>
    <w:p w14:paraId="633C2760" w14:textId="77777777" w:rsidR="00014F96" w:rsidRPr="006C782A" w:rsidRDefault="00014F96" w:rsidP="00442BBE">
      <w:pPr>
        <w:jc w:val="both"/>
        <w:rPr>
          <w:b/>
        </w:rPr>
      </w:pPr>
    </w:p>
    <w:p w14:paraId="1D7E44A5" w14:textId="0076BC46" w:rsidR="00442BBE" w:rsidRPr="006C782A" w:rsidRDefault="00E91299" w:rsidP="00442BBE">
      <w:pPr>
        <w:jc w:val="both"/>
        <w:rPr>
          <w:b/>
        </w:rPr>
      </w:pPr>
      <w:r w:rsidRPr="00E91299">
        <w:rPr>
          <w:b/>
        </w:rPr>
        <w:t>Kardiotokograafia keskjälgimissüsteem</w:t>
      </w:r>
      <w:r>
        <w:rPr>
          <w:b/>
        </w:rPr>
        <w:t>i</w:t>
      </w:r>
      <w:r w:rsidRPr="00E91299">
        <w:rPr>
          <w:b/>
        </w:rPr>
        <w:t xml:space="preserve"> </w:t>
      </w:r>
      <w:r>
        <w:rPr>
          <w:b/>
        </w:rPr>
        <w:t>versiooni nimetus</w:t>
      </w:r>
      <w:r w:rsidR="00442BBE" w:rsidRPr="006C782A">
        <w:rPr>
          <w:b/>
        </w:rPr>
        <w:t xml:space="preserve"> ……………….</w:t>
      </w:r>
    </w:p>
    <w:p w14:paraId="6C5EE4EF" w14:textId="77777777" w:rsidR="00827F88" w:rsidRPr="006C782A" w:rsidRDefault="00827F88" w:rsidP="00827F88">
      <w:pPr>
        <w:jc w:val="both"/>
        <w:rPr>
          <w:b/>
        </w:rPr>
      </w:pPr>
    </w:p>
    <w:p w14:paraId="3F53377E" w14:textId="7E2EEB0A" w:rsidR="00407D7B" w:rsidRPr="006C782A" w:rsidRDefault="00407D7B" w:rsidP="00407D7B">
      <w:pPr>
        <w:autoSpaceDE/>
        <w:autoSpaceDN/>
        <w:rPr>
          <w:b/>
          <w:szCs w:val="20"/>
          <w:lang w:eastAsia="en-US"/>
        </w:rPr>
      </w:pPr>
      <w:r w:rsidRPr="006C782A">
        <w:rPr>
          <w:b/>
          <w:sz w:val="22"/>
          <w:szCs w:val="22"/>
          <w:lang w:eastAsia="en-US"/>
        </w:rPr>
        <w:t>T</w:t>
      </w:r>
      <w:r w:rsidR="000C08A6" w:rsidRPr="006C782A">
        <w:rPr>
          <w:b/>
          <w:sz w:val="22"/>
          <w:szCs w:val="22"/>
          <w:lang w:eastAsia="en-US"/>
        </w:rPr>
        <w:t>ingimused</w:t>
      </w:r>
      <w:r w:rsidRPr="006C782A">
        <w:rPr>
          <w:sz w:val="22"/>
          <w:szCs w:val="22"/>
          <w:lang w:eastAsia="en-US"/>
        </w:rPr>
        <w:t>, millele pakutava kardiotokograafia keskjälgimissüsteemi komplektsus peab vastama.</w:t>
      </w:r>
    </w:p>
    <w:tbl>
      <w:tblPr>
        <w:tblW w:w="9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6127"/>
        <w:gridCol w:w="1483"/>
        <w:gridCol w:w="1456"/>
      </w:tblGrid>
      <w:tr w:rsidR="00407D7B" w:rsidRPr="006C782A" w14:paraId="02C1939F" w14:textId="77777777" w:rsidTr="00450268">
        <w:trPr>
          <w:trHeight w:val="1147"/>
        </w:trPr>
        <w:tc>
          <w:tcPr>
            <w:tcW w:w="585" w:type="dxa"/>
            <w:shd w:val="clear" w:color="auto" w:fill="auto"/>
          </w:tcPr>
          <w:p w14:paraId="7684B077" w14:textId="77777777" w:rsidR="00407D7B" w:rsidRPr="006C782A" w:rsidRDefault="00407D7B" w:rsidP="00407D7B">
            <w:pPr>
              <w:autoSpaceDE/>
              <w:autoSpaceDN/>
              <w:jc w:val="both"/>
              <w:rPr>
                <w:rFonts w:eastAsia="Calibri"/>
                <w:lang w:eastAsia="en-US"/>
              </w:rPr>
            </w:pPr>
          </w:p>
        </w:tc>
        <w:tc>
          <w:tcPr>
            <w:tcW w:w="6127" w:type="dxa"/>
            <w:shd w:val="clear" w:color="auto" w:fill="auto"/>
          </w:tcPr>
          <w:p w14:paraId="5B72C14F" w14:textId="77777777" w:rsidR="00407D7B" w:rsidRPr="006C782A" w:rsidRDefault="00407D7B" w:rsidP="00407D7B">
            <w:pPr>
              <w:autoSpaceDE/>
              <w:autoSpaceDN/>
              <w:jc w:val="both"/>
              <w:rPr>
                <w:rFonts w:eastAsia="Calibri"/>
                <w:lang w:eastAsia="en-US"/>
              </w:rPr>
            </w:pPr>
            <w:r w:rsidRPr="006C782A">
              <w:rPr>
                <w:lang w:eastAsia="en-US"/>
              </w:rPr>
              <w:t>Nõuded kardiotokograafia keskjälgimissüsteemi komplektsusele</w:t>
            </w:r>
          </w:p>
        </w:tc>
        <w:tc>
          <w:tcPr>
            <w:tcW w:w="1483" w:type="dxa"/>
            <w:shd w:val="clear" w:color="auto" w:fill="auto"/>
          </w:tcPr>
          <w:p w14:paraId="5C6EEC1C" w14:textId="77777777" w:rsidR="00407D7B" w:rsidRPr="006C782A" w:rsidRDefault="00407D7B" w:rsidP="00407D7B">
            <w:pPr>
              <w:autoSpaceDE/>
              <w:autoSpaceDN/>
              <w:jc w:val="both"/>
              <w:rPr>
                <w:rFonts w:eastAsia="Calibri"/>
                <w:lang w:eastAsia="en-US"/>
              </w:rPr>
            </w:pPr>
            <w:r w:rsidRPr="006C782A">
              <w:rPr>
                <w:rFonts w:eastAsia="Calibri"/>
                <w:lang w:eastAsia="en-US"/>
              </w:rPr>
              <w:t>Parameetri numbriline väärtus ja nõudele vastavus</w:t>
            </w:r>
          </w:p>
        </w:tc>
        <w:tc>
          <w:tcPr>
            <w:tcW w:w="1456" w:type="dxa"/>
            <w:shd w:val="clear" w:color="auto" w:fill="auto"/>
          </w:tcPr>
          <w:p w14:paraId="2664C40B" w14:textId="77777777" w:rsidR="00407D7B" w:rsidRPr="006C782A" w:rsidRDefault="00407D7B" w:rsidP="00407D7B">
            <w:pPr>
              <w:autoSpaceDE/>
              <w:autoSpaceDN/>
              <w:jc w:val="both"/>
              <w:rPr>
                <w:rFonts w:eastAsia="Calibri"/>
                <w:lang w:eastAsia="en-US"/>
              </w:rPr>
            </w:pPr>
            <w:r w:rsidRPr="006C782A">
              <w:rPr>
                <w:rFonts w:eastAsia="Calibri"/>
                <w:lang w:eastAsia="en-US"/>
              </w:rPr>
              <w:t>Viide tootja infomaterjali leheküljele</w:t>
            </w:r>
          </w:p>
        </w:tc>
      </w:tr>
      <w:tr w:rsidR="00407D7B" w:rsidRPr="006C782A" w14:paraId="5EE134C9" w14:textId="77777777" w:rsidTr="00450268">
        <w:trPr>
          <w:trHeight w:val="244"/>
        </w:trPr>
        <w:tc>
          <w:tcPr>
            <w:tcW w:w="585" w:type="dxa"/>
            <w:shd w:val="clear" w:color="auto" w:fill="auto"/>
          </w:tcPr>
          <w:p w14:paraId="5748E206" w14:textId="77777777" w:rsidR="00407D7B" w:rsidRPr="006C782A" w:rsidRDefault="00407D7B" w:rsidP="00407D7B">
            <w:pPr>
              <w:autoSpaceDE/>
              <w:autoSpaceDN/>
              <w:rPr>
                <w:rFonts w:eastAsia="Calibri"/>
                <w:b/>
                <w:lang w:eastAsia="en-US"/>
              </w:rPr>
            </w:pPr>
            <w:r w:rsidRPr="006C782A">
              <w:rPr>
                <w:rFonts w:eastAsia="Calibri"/>
                <w:b/>
                <w:lang w:eastAsia="en-US"/>
              </w:rPr>
              <w:t>1.</w:t>
            </w:r>
          </w:p>
        </w:tc>
        <w:tc>
          <w:tcPr>
            <w:tcW w:w="6127" w:type="dxa"/>
            <w:shd w:val="clear" w:color="auto" w:fill="auto"/>
          </w:tcPr>
          <w:p w14:paraId="2213E0EB" w14:textId="77777777" w:rsidR="00407D7B" w:rsidRPr="006C782A" w:rsidRDefault="00407D7B" w:rsidP="00407D7B">
            <w:pPr>
              <w:autoSpaceDE/>
              <w:autoSpaceDN/>
              <w:rPr>
                <w:b/>
                <w:u w:val="single"/>
                <w:lang w:eastAsia="en-US"/>
              </w:rPr>
            </w:pPr>
            <w:r w:rsidRPr="006C782A">
              <w:rPr>
                <w:b/>
                <w:u w:val="single"/>
                <w:lang w:eastAsia="en-US"/>
              </w:rPr>
              <w:t>Üldnõuded</w:t>
            </w:r>
          </w:p>
        </w:tc>
        <w:tc>
          <w:tcPr>
            <w:tcW w:w="1483" w:type="dxa"/>
            <w:shd w:val="clear" w:color="auto" w:fill="auto"/>
          </w:tcPr>
          <w:p w14:paraId="6FA84E97" w14:textId="77777777" w:rsidR="00407D7B" w:rsidRPr="006C782A" w:rsidRDefault="00407D7B" w:rsidP="00407D7B">
            <w:pPr>
              <w:autoSpaceDE/>
              <w:autoSpaceDN/>
              <w:jc w:val="center"/>
              <w:rPr>
                <w:rFonts w:eastAsia="Calibri"/>
                <w:lang w:eastAsia="en-US"/>
              </w:rPr>
            </w:pPr>
            <w:r w:rsidRPr="006C782A">
              <w:rPr>
                <w:rFonts w:eastAsia="Calibri"/>
                <w:lang w:eastAsia="en-US"/>
              </w:rPr>
              <w:t>X</w:t>
            </w:r>
          </w:p>
        </w:tc>
        <w:tc>
          <w:tcPr>
            <w:tcW w:w="1456" w:type="dxa"/>
            <w:shd w:val="clear" w:color="auto" w:fill="auto"/>
          </w:tcPr>
          <w:p w14:paraId="26DBF20A" w14:textId="77777777" w:rsidR="00407D7B" w:rsidRPr="006C782A" w:rsidRDefault="00407D7B" w:rsidP="00407D7B">
            <w:pPr>
              <w:autoSpaceDE/>
              <w:autoSpaceDN/>
              <w:jc w:val="center"/>
              <w:rPr>
                <w:rFonts w:eastAsia="Calibri"/>
                <w:lang w:eastAsia="en-US"/>
              </w:rPr>
            </w:pPr>
            <w:r w:rsidRPr="006C782A">
              <w:rPr>
                <w:rFonts w:eastAsia="Calibri"/>
                <w:lang w:eastAsia="en-US"/>
              </w:rPr>
              <w:t>X</w:t>
            </w:r>
          </w:p>
        </w:tc>
      </w:tr>
      <w:tr w:rsidR="00407D7B" w:rsidRPr="006C782A" w14:paraId="4A1EDA93" w14:textId="77777777" w:rsidTr="00450268">
        <w:trPr>
          <w:trHeight w:val="244"/>
        </w:trPr>
        <w:tc>
          <w:tcPr>
            <w:tcW w:w="585" w:type="dxa"/>
            <w:shd w:val="clear" w:color="auto" w:fill="auto"/>
          </w:tcPr>
          <w:p w14:paraId="00B2E3FB" w14:textId="77777777" w:rsidR="00407D7B" w:rsidRPr="006C782A" w:rsidRDefault="00407D7B" w:rsidP="00407D7B">
            <w:pPr>
              <w:numPr>
                <w:ilvl w:val="0"/>
                <w:numId w:val="17"/>
              </w:numPr>
              <w:autoSpaceDE/>
              <w:autoSpaceDN/>
              <w:rPr>
                <w:rFonts w:eastAsia="Calibri"/>
                <w:b/>
                <w:lang w:eastAsia="en-US"/>
              </w:rPr>
            </w:pPr>
          </w:p>
        </w:tc>
        <w:tc>
          <w:tcPr>
            <w:tcW w:w="6127" w:type="dxa"/>
            <w:shd w:val="clear" w:color="auto" w:fill="auto"/>
          </w:tcPr>
          <w:p w14:paraId="69E0C94E" w14:textId="77777777" w:rsidR="00407D7B" w:rsidRPr="006C782A" w:rsidRDefault="00407D7B" w:rsidP="00407D7B">
            <w:pPr>
              <w:autoSpaceDE/>
              <w:autoSpaceDN/>
              <w:rPr>
                <w:b/>
                <w:u w:val="single"/>
                <w:lang w:eastAsia="en-US"/>
              </w:rPr>
            </w:pPr>
            <w:r w:rsidRPr="006C782A">
              <w:rPr>
                <w:lang w:eastAsia="en-US"/>
              </w:rPr>
              <w:t xml:space="preserve">Pakkuja uuendab või asendab Hankija kardiotokogrammide vaatlus- ja arhiveerimise serveripõhise lahenduse tarkvara tootja poolt väljastatud viimasele tarkvara versioonile ning tagab seejuures kogu olemasoleva serveri tarkvara funktsionaalsuse (sh litsentside ja kõikide funktsionaalsuste) säilimise ning vähemalt käesolevas tabelis toodud funktsionaalsused lisades vajadusel litsentse serverile. </w:t>
            </w:r>
          </w:p>
        </w:tc>
        <w:tc>
          <w:tcPr>
            <w:tcW w:w="1483" w:type="dxa"/>
            <w:shd w:val="clear" w:color="auto" w:fill="auto"/>
          </w:tcPr>
          <w:p w14:paraId="6F97AD38" w14:textId="77777777" w:rsidR="00407D7B" w:rsidRPr="006C782A" w:rsidRDefault="00407D7B" w:rsidP="00407D7B">
            <w:pPr>
              <w:autoSpaceDE/>
              <w:autoSpaceDN/>
              <w:jc w:val="center"/>
              <w:rPr>
                <w:rFonts w:eastAsia="Calibri"/>
                <w:lang w:eastAsia="en-US"/>
              </w:rPr>
            </w:pPr>
          </w:p>
        </w:tc>
        <w:tc>
          <w:tcPr>
            <w:tcW w:w="1456" w:type="dxa"/>
            <w:shd w:val="clear" w:color="auto" w:fill="auto"/>
          </w:tcPr>
          <w:p w14:paraId="28DD3AA0" w14:textId="77777777" w:rsidR="00407D7B" w:rsidRPr="006C782A" w:rsidRDefault="00407D7B" w:rsidP="00407D7B">
            <w:pPr>
              <w:autoSpaceDE/>
              <w:autoSpaceDN/>
              <w:jc w:val="center"/>
              <w:rPr>
                <w:rFonts w:eastAsia="Calibri"/>
                <w:lang w:eastAsia="en-US"/>
              </w:rPr>
            </w:pPr>
          </w:p>
        </w:tc>
      </w:tr>
      <w:tr w:rsidR="00407D7B" w:rsidRPr="006C782A" w14:paraId="350284E5" w14:textId="77777777" w:rsidTr="00450268">
        <w:trPr>
          <w:trHeight w:val="244"/>
        </w:trPr>
        <w:tc>
          <w:tcPr>
            <w:tcW w:w="585" w:type="dxa"/>
            <w:shd w:val="clear" w:color="auto" w:fill="auto"/>
          </w:tcPr>
          <w:p w14:paraId="1CB41A10" w14:textId="77777777" w:rsidR="00407D7B" w:rsidRPr="006C782A" w:rsidRDefault="00407D7B" w:rsidP="00407D7B">
            <w:pPr>
              <w:numPr>
                <w:ilvl w:val="0"/>
                <w:numId w:val="17"/>
              </w:numPr>
              <w:autoSpaceDE/>
              <w:autoSpaceDN/>
              <w:rPr>
                <w:rFonts w:eastAsia="Calibri"/>
                <w:b/>
                <w:lang w:eastAsia="en-US"/>
              </w:rPr>
            </w:pPr>
          </w:p>
        </w:tc>
        <w:tc>
          <w:tcPr>
            <w:tcW w:w="6127" w:type="dxa"/>
            <w:shd w:val="clear" w:color="auto" w:fill="auto"/>
          </w:tcPr>
          <w:p w14:paraId="4458976D" w14:textId="77777777" w:rsidR="00407D7B" w:rsidRPr="006C782A" w:rsidRDefault="00407D7B" w:rsidP="00407D7B">
            <w:pPr>
              <w:autoSpaceDE/>
              <w:autoSpaceDN/>
              <w:rPr>
                <w:b/>
                <w:u w:val="single"/>
                <w:lang w:eastAsia="en-US"/>
              </w:rPr>
            </w:pPr>
            <w:r w:rsidRPr="006C782A">
              <w:rPr>
                <w:lang w:eastAsia="en-US"/>
              </w:rPr>
              <w:t>Pakutav serverlahendus peab omama kardiotokogrammide serveripõhist andmebaasi, mis peab olema täisühilduv pakutava kardiotokogrammide keskjälgimissüsteemi tööjaama tarkvaraga, võimaldades keskjälgimissüsteemi arvuti ekraanil kuvada  reaalajas registreeritavaid kardiotokogogramme ning  avada serveris olevaid uuringuid.</w:t>
            </w:r>
          </w:p>
        </w:tc>
        <w:tc>
          <w:tcPr>
            <w:tcW w:w="1483" w:type="dxa"/>
            <w:shd w:val="clear" w:color="auto" w:fill="auto"/>
          </w:tcPr>
          <w:p w14:paraId="15B6129B" w14:textId="77777777" w:rsidR="00407D7B" w:rsidRPr="006C782A" w:rsidRDefault="00407D7B" w:rsidP="00407D7B">
            <w:pPr>
              <w:autoSpaceDE/>
              <w:autoSpaceDN/>
              <w:jc w:val="center"/>
              <w:rPr>
                <w:rFonts w:eastAsia="Calibri"/>
                <w:lang w:eastAsia="en-US"/>
              </w:rPr>
            </w:pPr>
          </w:p>
        </w:tc>
        <w:tc>
          <w:tcPr>
            <w:tcW w:w="1456" w:type="dxa"/>
            <w:shd w:val="clear" w:color="auto" w:fill="auto"/>
          </w:tcPr>
          <w:p w14:paraId="04F48E44" w14:textId="77777777" w:rsidR="00407D7B" w:rsidRPr="006C782A" w:rsidRDefault="00407D7B" w:rsidP="00407D7B">
            <w:pPr>
              <w:autoSpaceDE/>
              <w:autoSpaceDN/>
              <w:jc w:val="center"/>
              <w:rPr>
                <w:rFonts w:eastAsia="Calibri"/>
                <w:lang w:eastAsia="en-US"/>
              </w:rPr>
            </w:pPr>
          </w:p>
        </w:tc>
      </w:tr>
      <w:tr w:rsidR="00407D7B" w:rsidRPr="006C782A" w14:paraId="6CC71915" w14:textId="77777777" w:rsidTr="00450268">
        <w:trPr>
          <w:trHeight w:val="244"/>
        </w:trPr>
        <w:tc>
          <w:tcPr>
            <w:tcW w:w="585" w:type="dxa"/>
            <w:shd w:val="clear" w:color="auto" w:fill="auto"/>
          </w:tcPr>
          <w:p w14:paraId="3CB115E4" w14:textId="77777777" w:rsidR="00407D7B" w:rsidRPr="006C782A" w:rsidRDefault="00407D7B" w:rsidP="00407D7B">
            <w:pPr>
              <w:numPr>
                <w:ilvl w:val="0"/>
                <w:numId w:val="17"/>
              </w:numPr>
              <w:autoSpaceDE/>
              <w:autoSpaceDN/>
              <w:rPr>
                <w:rFonts w:eastAsia="Calibri"/>
                <w:b/>
                <w:lang w:eastAsia="en-US"/>
              </w:rPr>
            </w:pPr>
          </w:p>
        </w:tc>
        <w:tc>
          <w:tcPr>
            <w:tcW w:w="6127" w:type="dxa"/>
            <w:shd w:val="clear" w:color="auto" w:fill="auto"/>
          </w:tcPr>
          <w:p w14:paraId="70A1975A" w14:textId="3BCDC69E" w:rsidR="00407D7B" w:rsidRPr="006C782A" w:rsidRDefault="00407D7B" w:rsidP="0002723F">
            <w:pPr>
              <w:autoSpaceDE/>
              <w:autoSpaceDN/>
              <w:rPr>
                <w:lang w:eastAsia="en-US"/>
              </w:rPr>
            </w:pPr>
            <w:r w:rsidRPr="006C782A">
              <w:rPr>
                <w:lang w:eastAsia="en-US"/>
              </w:rPr>
              <w:t>Pakutav serverlahendus peab olema täisühilduv hankijal ole</w:t>
            </w:r>
            <w:r w:rsidR="00CF45C8">
              <w:rPr>
                <w:lang w:eastAsia="en-US"/>
              </w:rPr>
              <w:t>masolevate kardiotokograafidega</w:t>
            </w:r>
            <w:r w:rsidRPr="0002723F">
              <w:rPr>
                <w:lang w:eastAsia="en-US"/>
              </w:rPr>
              <w:t>, võimaldades keskjälgimissüsteemi</w:t>
            </w:r>
            <w:r w:rsidRPr="006C782A">
              <w:rPr>
                <w:lang w:eastAsia="en-US"/>
              </w:rPr>
              <w:t xml:space="preserve"> arvuti ekraanil kuvada  reaalajas registreeri</w:t>
            </w:r>
            <w:r w:rsidR="00CF45C8">
              <w:rPr>
                <w:lang w:eastAsia="en-US"/>
              </w:rPr>
              <w:t xml:space="preserve">tavaid kardiotokogogramme ning </w:t>
            </w:r>
            <w:r w:rsidRPr="006C782A">
              <w:rPr>
                <w:lang w:eastAsia="en-US"/>
              </w:rPr>
              <w:t>avada serveris olevaid uuringuid.</w:t>
            </w:r>
          </w:p>
        </w:tc>
        <w:tc>
          <w:tcPr>
            <w:tcW w:w="1483" w:type="dxa"/>
            <w:shd w:val="clear" w:color="auto" w:fill="auto"/>
          </w:tcPr>
          <w:p w14:paraId="02385B80" w14:textId="77777777" w:rsidR="00407D7B" w:rsidRPr="006C782A" w:rsidRDefault="00407D7B" w:rsidP="00407D7B">
            <w:pPr>
              <w:autoSpaceDE/>
              <w:autoSpaceDN/>
              <w:jc w:val="center"/>
              <w:rPr>
                <w:rFonts w:eastAsia="Calibri"/>
                <w:lang w:eastAsia="en-US"/>
              </w:rPr>
            </w:pPr>
          </w:p>
        </w:tc>
        <w:tc>
          <w:tcPr>
            <w:tcW w:w="1456" w:type="dxa"/>
            <w:shd w:val="clear" w:color="auto" w:fill="auto"/>
          </w:tcPr>
          <w:p w14:paraId="471ADE18" w14:textId="77777777" w:rsidR="00407D7B" w:rsidRPr="006C782A" w:rsidRDefault="00407D7B" w:rsidP="00407D7B">
            <w:pPr>
              <w:autoSpaceDE/>
              <w:autoSpaceDN/>
              <w:jc w:val="center"/>
              <w:rPr>
                <w:rFonts w:eastAsia="Calibri"/>
                <w:lang w:eastAsia="en-US"/>
              </w:rPr>
            </w:pPr>
          </w:p>
        </w:tc>
      </w:tr>
      <w:tr w:rsidR="00407D7B" w:rsidRPr="006C782A" w14:paraId="340E9344" w14:textId="77777777" w:rsidTr="00450268">
        <w:trPr>
          <w:trHeight w:val="244"/>
        </w:trPr>
        <w:tc>
          <w:tcPr>
            <w:tcW w:w="585" w:type="dxa"/>
            <w:shd w:val="clear" w:color="auto" w:fill="auto"/>
          </w:tcPr>
          <w:p w14:paraId="75B71B91" w14:textId="77777777" w:rsidR="00407D7B" w:rsidRPr="006C782A" w:rsidRDefault="00407D7B" w:rsidP="00407D7B">
            <w:pPr>
              <w:numPr>
                <w:ilvl w:val="0"/>
                <w:numId w:val="17"/>
              </w:numPr>
              <w:autoSpaceDE/>
              <w:autoSpaceDN/>
              <w:rPr>
                <w:rFonts w:eastAsia="Calibri"/>
                <w:b/>
                <w:lang w:eastAsia="en-US"/>
              </w:rPr>
            </w:pPr>
          </w:p>
        </w:tc>
        <w:tc>
          <w:tcPr>
            <w:tcW w:w="6127" w:type="dxa"/>
            <w:shd w:val="clear" w:color="auto" w:fill="auto"/>
          </w:tcPr>
          <w:p w14:paraId="0CA97C05" w14:textId="26A85350" w:rsidR="00407D7B" w:rsidRPr="006C782A" w:rsidRDefault="00407D7B" w:rsidP="00021EAF">
            <w:pPr>
              <w:autoSpaceDE/>
              <w:autoSpaceDN/>
              <w:rPr>
                <w:b/>
                <w:u w:val="single"/>
                <w:lang w:eastAsia="en-US"/>
              </w:rPr>
            </w:pPr>
            <w:r w:rsidRPr="006C782A">
              <w:rPr>
                <w:lang w:eastAsia="en-US"/>
              </w:rPr>
              <w:t xml:space="preserve">Pakkuja migreerib Hankija olemasolevast kardiotokogrammide keskjälgimissüsteemi serverist </w:t>
            </w:r>
            <w:r w:rsidRPr="006C782A">
              <w:rPr>
                <w:b/>
                <w:lang w:eastAsia="en-US"/>
              </w:rPr>
              <w:t xml:space="preserve"> </w:t>
            </w:r>
            <w:r w:rsidRPr="006C782A">
              <w:rPr>
                <w:lang w:eastAsia="en-US"/>
              </w:rPr>
              <w:t>kõik uuringud pakutavasse serverisse tagades seejuures andmebaasi tervikliku säilimise.</w:t>
            </w:r>
          </w:p>
        </w:tc>
        <w:tc>
          <w:tcPr>
            <w:tcW w:w="1483" w:type="dxa"/>
            <w:shd w:val="clear" w:color="auto" w:fill="auto"/>
          </w:tcPr>
          <w:p w14:paraId="5D07867C" w14:textId="77777777" w:rsidR="00407D7B" w:rsidRPr="006C782A" w:rsidRDefault="00407D7B" w:rsidP="00407D7B">
            <w:pPr>
              <w:autoSpaceDE/>
              <w:autoSpaceDN/>
              <w:jc w:val="center"/>
              <w:rPr>
                <w:rFonts w:eastAsia="Calibri"/>
                <w:lang w:eastAsia="en-US"/>
              </w:rPr>
            </w:pPr>
          </w:p>
        </w:tc>
        <w:tc>
          <w:tcPr>
            <w:tcW w:w="1456" w:type="dxa"/>
            <w:shd w:val="clear" w:color="auto" w:fill="auto"/>
          </w:tcPr>
          <w:p w14:paraId="04BF2582" w14:textId="77777777" w:rsidR="00407D7B" w:rsidRPr="006C782A" w:rsidRDefault="00407D7B" w:rsidP="00407D7B">
            <w:pPr>
              <w:autoSpaceDE/>
              <w:autoSpaceDN/>
              <w:jc w:val="center"/>
              <w:rPr>
                <w:rFonts w:eastAsia="Calibri"/>
                <w:lang w:eastAsia="en-US"/>
              </w:rPr>
            </w:pPr>
          </w:p>
        </w:tc>
      </w:tr>
      <w:tr w:rsidR="00407D7B" w:rsidRPr="006C782A" w14:paraId="1A369C2E" w14:textId="77777777" w:rsidTr="00450268">
        <w:trPr>
          <w:trHeight w:val="244"/>
        </w:trPr>
        <w:tc>
          <w:tcPr>
            <w:tcW w:w="585" w:type="dxa"/>
            <w:shd w:val="clear" w:color="auto" w:fill="auto"/>
          </w:tcPr>
          <w:p w14:paraId="2E346388" w14:textId="77777777" w:rsidR="00407D7B" w:rsidRPr="006C782A" w:rsidRDefault="00407D7B" w:rsidP="00407D7B">
            <w:pPr>
              <w:numPr>
                <w:ilvl w:val="0"/>
                <w:numId w:val="17"/>
              </w:numPr>
              <w:autoSpaceDE/>
              <w:autoSpaceDN/>
              <w:rPr>
                <w:rFonts w:eastAsia="Calibri"/>
                <w:b/>
                <w:lang w:eastAsia="en-US"/>
              </w:rPr>
            </w:pPr>
          </w:p>
        </w:tc>
        <w:tc>
          <w:tcPr>
            <w:tcW w:w="6127" w:type="dxa"/>
            <w:shd w:val="clear" w:color="auto" w:fill="auto"/>
          </w:tcPr>
          <w:p w14:paraId="2ADB2B5A" w14:textId="77777777" w:rsidR="00407D7B" w:rsidRPr="006C782A" w:rsidRDefault="00407D7B" w:rsidP="00407D7B">
            <w:pPr>
              <w:autoSpaceDE/>
              <w:autoSpaceDN/>
              <w:rPr>
                <w:b/>
                <w:u w:val="single"/>
                <w:lang w:eastAsia="en-US"/>
              </w:rPr>
            </w:pPr>
            <w:r w:rsidRPr="006C782A">
              <w:rPr>
                <w:lang w:eastAsia="en-US"/>
              </w:rPr>
              <w:t>Pakutava serverlahendusega serveri tarkvara ja keskjälgimissüsteemi tööjaama tarkvara peab olema tootja viimase põlvkonna tarkvara kõige uuem versioon.</w:t>
            </w:r>
          </w:p>
        </w:tc>
        <w:tc>
          <w:tcPr>
            <w:tcW w:w="1483" w:type="dxa"/>
            <w:shd w:val="clear" w:color="auto" w:fill="auto"/>
          </w:tcPr>
          <w:p w14:paraId="351AF875" w14:textId="77777777" w:rsidR="00407D7B" w:rsidRPr="006C782A" w:rsidRDefault="00407D7B" w:rsidP="00407D7B">
            <w:pPr>
              <w:autoSpaceDE/>
              <w:autoSpaceDN/>
              <w:jc w:val="center"/>
              <w:rPr>
                <w:rFonts w:eastAsia="Calibri"/>
                <w:lang w:eastAsia="en-US"/>
              </w:rPr>
            </w:pPr>
          </w:p>
        </w:tc>
        <w:tc>
          <w:tcPr>
            <w:tcW w:w="1456" w:type="dxa"/>
            <w:shd w:val="clear" w:color="auto" w:fill="auto"/>
          </w:tcPr>
          <w:p w14:paraId="66BA7565" w14:textId="77777777" w:rsidR="00407D7B" w:rsidRPr="006C782A" w:rsidRDefault="00407D7B" w:rsidP="00407D7B">
            <w:pPr>
              <w:autoSpaceDE/>
              <w:autoSpaceDN/>
              <w:jc w:val="center"/>
              <w:rPr>
                <w:rFonts w:eastAsia="Calibri"/>
                <w:lang w:eastAsia="en-US"/>
              </w:rPr>
            </w:pPr>
          </w:p>
        </w:tc>
      </w:tr>
      <w:tr w:rsidR="00407D7B" w:rsidRPr="006C782A" w14:paraId="2BCEF0A6" w14:textId="77777777" w:rsidTr="00450268">
        <w:trPr>
          <w:trHeight w:val="244"/>
        </w:trPr>
        <w:tc>
          <w:tcPr>
            <w:tcW w:w="585" w:type="dxa"/>
            <w:shd w:val="clear" w:color="auto" w:fill="auto"/>
          </w:tcPr>
          <w:p w14:paraId="3C12472F" w14:textId="77777777" w:rsidR="00407D7B" w:rsidRPr="006C782A" w:rsidRDefault="00407D7B" w:rsidP="00407D7B">
            <w:pPr>
              <w:numPr>
                <w:ilvl w:val="0"/>
                <w:numId w:val="17"/>
              </w:numPr>
              <w:autoSpaceDE/>
              <w:autoSpaceDN/>
              <w:rPr>
                <w:rFonts w:eastAsia="Calibri"/>
                <w:b/>
                <w:lang w:eastAsia="en-US"/>
              </w:rPr>
            </w:pPr>
          </w:p>
        </w:tc>
        <w:tc>
          <w:tcPr>
            <w:tcW w:w="6127" w:type="dxa"/>
            <w:shd w:val="clear" w:color="auto" w:fill="auto"/>
          </w:tcPr>
          <w:p w14:paraId="2441B1F0" w14:textId="7EB497B0" w:rsidR="00407D7B" w:rsidRPr="006C782A" w:rsidRDefault="00407D7B" w:rsidP="004D68E1">
            <w:pPr>
              <w:autoSpaceDE/>
              <w:autoSpaceDN/>
              <w:rPr>
                <w:b/>
                <w:u w:val="single"/>
                <w:lang w:eastAsia="en-US"/>
              </w:rPr>
            </w:pPr>
            <w:r w:rsidRPr="006C782A">
              <w:rPr>
                <w:lang w:eastAsia="en-US"/>
              </w:rPr>
              <w:t xml:space="preserve">Pakutava serverlahendusega keskjälgimissüsteemi  tarkvara peab toetama Windows Server </w:t>
            </w:r>
            <w:r w:rsidR="004D68E1">
              <w:rPr>
                <w:lang w:eastAsia="en-US"/>
              </w:rPr>
              <w:t>2022</w:t>
            </w:r>
            <w:r w:rsidRPr="006C782A">
              <w:rPr>
                <w:lang w:eastAsia="en-US"/>
              </w:rPr>
              <w:t xml:space="preserve"> või uuemaid Microsofti operatsioonisüsteeme. Esitada sellekohane tootjapoolne kinnitus.</w:t>
            </w:r>
          </w:p>
        </w:tc>
        <w:tc>
          <w:tcPr>
            <w:tcW w:w="1483" w:type="dxa"/>
            <w:shd w:val="clear" w:color="auto" w:fill="auto"/>
          </w:tcPr>
          <w:p w14:paraId="07541231" w14:textId="77777777" w:rsidR="00407D7B" w:rsidRPr="006C782A" w:rsidRDefault="00407D7B" w:rsidP="00407D7B">
            <w:pPr>
              <w:autoSpaceDE/>
              <w:autoSpaceDN/>
              <w:jc w:val="center"/>
              <w:rPr>
                <w:rFonts w:eastAsia="Calibri"/>
                <w:lang w:eastAsia="en-US"/>
              </w:rPr>
            </w:pPr>
          </w:p>
        </w:tc>
        <w:tc>
          <w:tcPr>
            <w:tcW w:w="1456" w:type="dxa"/>
            <w:shd w:val="clear" w:color="auto" w:fill="auto"/>
          </w:tcPr>
          <w:p w14:paraId="3F4A98A6" w14:textId="77777777" w:rsidR="00407D7B" w:rsidRPr="006C782A" w:rsidRDefault="00407D7B" w:rsidP="00407D7B">
            <w:pPr>
              <w:autoSpaceDE/>
              <w:autoSpaceDN/>
              <w:jc w:val="center"/>
              <w:rPr>
                <w:rFonts w:eastAsia="Calibri"/>
                <w:lang w:eastAsia="en-US"/>
              </w:rPr>
            </w:pPr>
          </w:p>
        </w:tc>
      </w:tr>
      <w:tr w:rsidR="00407D7B" w:rsidRPr="006C782A" w14:paraId="37EE1335" w14:textId="77777777" w:rsidTr="00450268">
        <w:trPr>
          <w:trHeight w:val="244"/>
        </w:trPr>
        <w:tc>
          <w:tcPr>
            <w:tcW w:w="585" w:type="dxa"/>
            <w:shd w:val="clear" w:color="auto" w:fill="auto"/>
          </w:tcPr>
          <w:p w14:paraId="3CF2C9B3" w14:textId="77777777" w:rsidR="00407D7B" w:rsidRPr="006C782A" w:rsidRDefault="00407D7B" w:rsidP="00407D7B">
            <w:pPr>
              <w:numPr>
                <w:ilvl w:val="0"/>
                <w:numId w:val="17"/>
              </w:numPr>
              <w:autoSpaceDE/>
              <w:autoSpaceDN/>
              <w:rPr>
                <w:rFonts w:eastAsia="Calibri"/>
                <w:b/>
                <w:lang w:eastAsia="en-US"/>
              </w:rPr>
            </w:pPr>
          </w:p>
        </w:tc>
        <w:tc>
          <w:tcPr>
            <w:tcW w:w="6127" w:type="dxa"/>
            <w:shd w:val="clear" w:color="auto" w:fill="auto"/>
          </w:tcPr>
          <w:p w14:paraId="4930B71C" w14:textId="144498D8" w:rsidR="00407D7B" w:rsidRPr="006C782A" w:rsidRDefault="00407D7B" w:rsidP="00021EAF">
            <w:pPr>
              <w:autoSpaceDE/>
              <w:autoSpaceDN/>
              <w:rPr>
                <w:lang w:eastAsia="en-US"/>
              </w:rPr>
            </w:pPr>
            <w:r w:rsidRPr="006C782A">
              <w:rPr>
                <w:lang w:eastAsia="en-US"/>
              </w:rPr>
              <w:t>Pakutava serverlahendusega serveri tarkvara peab olema paigaldatav Hankijal olemasolevasse virtualiseerimiskeskkonda</w:t>
            </w:r>
            <w:r w:rsidR="00021EAF">
              <w:rPr>
                <w:lang w:eastAsia="en-US"/>
              </w:rPr>
              <w:t>.</w:t>
            </w:r>
            <w:r w:rsidRPr="006C782A">
              <w:rPr>
                <w:lang w:eastAsia="en-US"/>
              </w:rPr>
              <w:t xml:space="preserve"> Esitada täpsemad tootjapoolsed riistvaralised ja tarkvaralised nõuded ja soovitused serverile </w:t>
            </w:r>
            <w:r w:rsidRPr="006C782A">
              <w:rPr>
                <w:lang w:eastAsia="en-US"/>
              </w:rPr>
              <w:lastRenderedPageBreak/>
              <w:t>ja keskjälgimissüsteemi tööjaamale. Serveri riistvara ja keskjälgimissüsteemi tööjaama riistvara ning operatsioonisüsteemi koos virtualiseerimiskeskkonnaga tagab Hankija.</w:t>
            </w:r>
          </w:p>
        </w:tc>
        <w:tc>
          <w:tcPr>
            <w:tcW w:w="1483" w:type="dxa"/>
            <w:shd w:val="clear" w:color="auto" w:fill="auto"/>
          </w:tcPr>
          <w:p w14:paraId="6CED9A44" w14:textId="77777777" w:rsidR="00407D7B" w:rsidRPr="006C782A" w:rsidRDefault="00407D7B" w:rsidP="00407D7B">
            <w:pPr>
              <w:autoSpaceDE/>
              <w:autoSpaceDN/>
              <w:jc w:val="center"/>
              <w:rPr>
                <w:rFonts w:eastAsia="Calibri"/>
                <w:lang w:eastAsia="en-US"/>
              </w:rPr>
            </w:pPr>
          </w:p>
        </w:tc>
        <w:tc>
          <w:tcPr>
            <w:tcW w:w="1456" w:type="dxa"/>
            <w:shd w:val="clear" w:color="auto" w:fill="auto"/>
          </w:tcPr>
          <w:p w14:paraId="72440E86" w14:textId="77777777" w:rsidR="00407D7B" w:rsidRPr="006C782A" w:rsidRDefault="00407D7B" w:rsidP="00407D7B">
            <w:pPr>
              <w:autoSpaceDE/>
              <w:autoSpaceDN/>
              <w:jc w:val="center"/>
              <w:rPr>
                <w:rFonts w:eastAsia="Calibri"/>
                <w:lang w:eastAsia="en-US"/>
              </w:rPr>
            </w:pPr>
          </w:p>
        </w:tc>
      </w:tr>
      <w:tr w:rsidR="00407D7B" w:rsidRPr="006C782A" w14:paraId="3C59E12A" w14:textId="77777777" w:rsidTr="00450268">
        <w:trPr>
          <w:trHeight w:val="244"/>
        </w:trPr>
        <w:tc>
          <w:tcPr>
            <w:tcW w:w="585" w:type="dxa"/>
            <w:shd w:val="clear" w:color="auto" w:fill="auto"/>
          </w:tcPr>
          <w:p w14:paraId="43639AB7" w14:textId="77777777" w:rsidR="00407D7B" w:rsidRPr="006C782A" w:rsidRDefault="00407D7B" w:rsidP="00407D7B">
            <w:pPr>
              <w:numPr>
                <w:ilvl w:val="0"/>
                <w:numId w:val="17"/>
              </w:numPr>
              <w:autoSpaceDE/>
              <w:autoSpaceDN/>
              <w:rPr>
                <w:rFonts w:eastAsia="Calibri"/>
                <w:b/>
                <w:lang w:eastAsia="en-US"/>
              </w:rPr>
            </w:pPr>
          </w:p>
        </w:tc>
        <w:tc>
          <w:tcPr>
            <w:tcW w:w="6127" w:type="dxa"/>
            <w:shd w:val="clear" w:color="auto" w:fill="auto"/>
          </w:tcPr>
          <w:p w14:paraId="5F333CBD" w14:textId="35F00DAD" w:rsidR="00407D7B" w:rsidRPr="006C782A" w:rsidRDefault="00407D7B" w:rsidP="00CF45C8">
            <w:pPr>
              <w:autoSpaceDE/>
              <w:autoSpaceDN/>
              <w:rPr>
                <w:b/>
                <w:u w:val="single"/>
                <w:lang w:eastAsia="en-US"/>
              </w:rPr>
            </w:pPr>
            <w:r w:rsidRPr="006C782A">
              <w:rPr>
                <w:lang w:eastAsia="en-US"/>
              </w:rPr>
              <w:t xml:space="preserve">Pakutava keskjälgimissüsteemi tööjaama </w:t>
            </w:r>
            <w:r w:rsidR="004D68E1">
              <w:rPr>
                <w:lang w:eastAsia="en-US"/>
              </w:rPr>
              <w:t>tarkvara peab toetama Windows 11</w:t>
            </w:r>
            <w:bookmarkStart w:id="0" w:name="_GoBack"/>
            <w:bookmarkEnd w:id="0"/>
            <w:r w:rsidRPr="006C782A">
              <w:rPr>
                <w:lang w:eastAsia="en-US"/>
              </w:rPr>
              <w:t xml:space="preserve"> ja uuemaid operatsioonisüsteeme. Esitada täpsemad tootja poolsed nõuded ja soovitused arvutile.</w:t>
            </w:r>
          </w:p>
        </w:tc>
        <w:tc>
          <w:tcPr>
            <w:tcW w:w="1483" w:type="dxa"/>
            <w:shd w:val="clear" w:color="auto" w:fill="auto"/>
          </w:tcPr>
          <w:p w14:paraId="4BAE0BD5" w14:textId="77777777" w:rsidR="00407D7B" w:rsidRPr="006C782A" w:rsidRDefault="00407D7B" w:rsidP="00407D7B">
            <w:pPr>
              <w:autoSpaceDE/>
              <w:autoSpaceDN/>
              <w:jc w:val="center"/>
              <w:rPr>
                <w:rFonts w:eastAsia="Calibri"/>
                <w:lang w:eastAsia="en-US"/>
              </w:rPr>
            </w:pPr>
          </w:p>
        </w:tc>
        <w:tc>
          <w:tcPr>
            <w:tcW w:w="1456" w:type="dxa"/>
            <w:shd w:val="clear" w:color="auto" w:fill="auto"/>
          </w:tcPr>
          <w:p w14:paraId="6F08B6CE" w14:textId="77777777" w:rsidR="00407D7B" w:rsidRPr="006C782A" w:rsidRDefault="00407D7B" w:rsidP="00407D7B">
            <w:pPr>
              <w:autoSpaceDE/>
              <w:autoSpaceDN/>
              <w:jc w:val="center"/>
              <w:rPr>
                <w:rFonts w:eastAsia="Calibri"/>
                <w:lang w:eastAsia="en-US"/>
              </w:rPr>
            </w:pPr>
          </w:p>
        </w:tc>
      </w:tr>
      <w:tr w:rsidR="00407D7B" w:rsidRPr="006C782A" w14:paraId="2B522D70" w14:textId="77777777" w:rsidTr="00450268">
        <w:trPr>
          <w:trHeight w:val="236"/>
        </w:trPr>
        <w:tc>
          <w:tcPr>
            <w:tcW w:w="585" w:type="dxa"/>
            <w:shd w:val="clear" w:color="auto" w:fill="auto"/>
            <w:vAlign w:val="center"/>
          </w:tcPr>
          <w:p w14:paraId="5F1FEA7D" w14:textId="77777777" w:rsidR="00407D7B" w:rsidRPr="006C782A" w:rsidRDefault="00407D7B" w:rsidP="00407D7B">
            <w:pPr>
              <w:autoSpaceDE/>
              <w:autoSpaceDN/>
              <w:rPr>
                <w:lang w:eastAsia="en-US"/>
              </w:rPr>
            </w:pPr>
            <w:r w:rsidRPr="006C782A">
              <w:rPr>
                <w:lang w:eastAsia="en-US"/>
              </w:rPr>
              <w:t>2.</w:t>
            </w:r>
          </w:p>
        </w:tc>
        <w:tc>
          <w:tcPr>
            <w:tcW w:w="6127" w:type="dxa"/>
            <w:shd w:val="clear" w:color="auto" w:fill="auto"/>
            <w:vAlign w:val="center"/>
          </w:tcPr>
          <w:p w14:paraId="66739C44" w14:textId="77777777" w:rsidR="00407D7B" w:rsidRPr="006C782A" w:rsidRDefault="00407D7B" w:rsidP="00407D7B">
            <w:pPr>
              <w:keepNext/>
              <w:tabs>
                <w:tab w:val="num" w:pos="-108"/>
              </w:tabs>
              <w:autoSpaceDE/>
              <w:autoSpaceDN/>
              <w:spacing w:before="240" w:after="60"/>
              <w:jc w:val="both"/>
              <w:outlineLvl w:val="1"/>
              <w:rPr>
                <w:b/>
                <w:bCs/>
                <w:iCs/>
                <w:lang w:eastAsia="en-US"/>
              </w:rPr>
            </w:pPr>
            <w:r w:rsidRPr="006C782A">
              <w:rPr>
                <w:b/>
                <w:bCs/>
                <w:iCs/>
                <w:lang w:eastAsia="en-US"/>
              </w:rPr>
              <w:t>Muud nõuded</w:t>
            </w:r>
          </w:p>
        </w:tc>
        <w:tc>
          <w:tcPr>
            <w:tcW w:w="1483" w:type="dxa"/>
            <w:shd w:val="clear" w:color="auto" w:fill="auto"/>
          </w:tcPr>
          <w:p w14:paraId="7C3EDB41" w14:textId="77777777" w:rsidR="00407D7B" w:rsidRPr="006C782A" w:rsidRDefault="00407D7B" w:rsidP="00407D7B">
            <w:pPr>
              <w:autoSpaceDE/>
              <w:autoSpaceDN/>
              <w:jc w:val="center"/>
              <w:rPr>
                <w:rFonts w:eastAsia="Calibri"/>
                <w:lang w:eastAsia="en-US"/>
              </w:rPr>
            </w:pPr>
            <w:r w:rsidRPr="006C782A">
              <w:rPr>
                <w:rFonts w:eastAsia="Calibri"/>
                <w:lang w:eastAsia="en-US"/>
              </w:rPr>
              <w:t>X</w:t>
            </w:r>
          </w:p>
        </w:tc>
        <w:tc>
          <w:tcPr>
            <w:tcW w:w="1456" w:type="dxa"/>
            <w:shd w:val="clear" w:color="auto" w:fill="auto"/>
          </w:tcPr>
          <w:p w14:paraId="126E44CD" w14:textId="77777777" w:rsidR="00407D7B" w:rsidRPr="006C782A" w:rsidRDefault="00407D7B" w:rsidP="00407D7B">
            <w:pPr>
              <w:autoSpaceDE/>
              <w:autoSpaceDN/>
              <w:jc w:val="center"/>
              <w:rPr>
                <w:rFonts w:eastAsia="Calibri"/>
                <w:lang w:eastAsia="en-US"/>
              </w:rPr>
            </w:pPr>
            <w:r w:rsidRPr="006C782A">
              <w:rPr>
                <w:rFonts w:eastAsia="Calibri"/>
                <w:lang w:eastAsia="en-US"/>
              </w:rPr>
              <w:t>X</w:t>
            </w:r>
          </w:p>
        </w:tc>
      </w:tr>
      <w:tr w:rsidR="00407D7B" w:rsidRPr="006C782A" w14:paraId="19EB0822" w14:textId="77777777" w:rsidTr="00450268">
        <w:trPr>
          <w:trHeight w:val="381"/>
        </w:trPr>
        <w:tc>
          <w:tcPr>
            <w:tcW w:w="585" w:type="dxa"/>
            <w:shd w:val="clear" w:color="auto" w:fill="auto"/>
            <w:vAlign w:val="center"/>
          </w:tcPr>
          <w:p w14:paraId="0AA5E7AD" w14:textId="77777777" w:rsidR="00407D7B" w:rsidRPr="006C782A" w:rsidRDefault="00407D7B" w:rsidP="00407D7B">
            <w:pPr>
              <w:numPr>
                <w:ilvl w:val="0"/>
                <w:numId w:val="18"/>
              </w:numPr>
              <w:autoSpaceDE/>
              <w:autoSpaceDN/>
              <w:rPr>
                <w:lang w:eastAsia="en-US"/>
              </w:rPr>
            </w:pPr>
          </w:p>
        </w:tc>
        <w:tc>
          <w:tcPr>
            <w:tcW w:w="6127" w:type="dxa"/>
            <w:shd w:val="clear" w:color="auto" w:fill="auto"/>
            <w:vAlign w:val="center"/>
          </w:tcPr>
          <w:p w14:paraId="19B57DFD" w14:textId="77777777" w:rsidR="00407D7B" w:rsidRPr="006C782A" w:rsidRDefault="00407D7B" w:rsidP="00407D7B">
            <w:pPr>
              <w:keepNext/>
              <w:tabs>
                <w:tab w:val="num" w:pos="-108"/>
              </w:tabs>
              <w:autoSpaceDE/>
              <w:autoSpaceDN/>
              <w:spacing w:before="240" w:after="60"/>
              <w:jc w:val="both"/>
              <w:outlineLvl w:val="1"/>
              <w:rPr>
                <w:bCs/>
                <w:iCs/>
                <w:lang w:eastAsia="en-US"/>
              </w:rPr>
            </w:pPr>
            <w:r w:rsidRPr="006C782A">
              <w:rPr>
                <w:bCs/>
                <w:iCs/>
                <w:lang w:eastAsia="en-US"/>
              </w:rPr>
              <w:t xml:space="preserve">Pakkumus peab sisaldama tarkvara kõikide käesolevas lisas nimetatud funktsionaalsuste rakendamiseks. </w:t>
            </w:r>
          </w:p>
        </w:tc>
        <w:tc>
          <w:tcPr>
            <w:tcW w:w="1483" w:type="dxa"/>
            <w:shd w:val="clear" w:color="auto" w:fill="auto"/>
          </w:tcPr>
          <w:p w14:paraId="62AF17D8" w14:textId="77777777" w:rsidR="00407D7B" w:rsidRPr="006C782A" w:rsidRDefault="00407D7B" w:rsidP="00407D7B">
            <w:pPr>
              <w:keepNext/>
              <w:tabs>
                <w:tab w:val="num" w:pos="-108"/>
              </w:tabs>
              <w:autoSpaceDE/>
              <w:autoSpaceDN/>
              <w:spacing w:before="240" w:after="60"/>
              <w:ind w:left="34"/>
              <w:outlineLvl w:val="1"/>
              <w:rPr>
                <w:bCs/>
                <w:iCs/>
                <w:lang w:eastAsia="en-US"/>
              </w:rPr>
            </w:pPr>
          </w:p>
        </w:tc>
        <w:tc>
          <w:tcPr>
            <w:tcW w:w="1456" w:type="dxa"/>
            <w:shd w:val="clear" w:color="auto" w:fill="auto"/>
          </w:tcPr>
          <w:p w14:paraId="72329780" w14:textId="77777777" w:rsidR="00407D7B" w:rsidRPr="006C782A" w:rsidRDefault="00407D7B" w:rsidP="00407D7B">
            <w:pPr>
              <w:keepNext/>
              <w:tabs>
                <w:tab w:val="num" w:pos="-108"/>
              </w:tabs>
              <w:autoSpaceDE/>
              <w:autoSpaceDN/>
              <w:spacing w:before="240" w:after="60"/>
              <w:ind w:left="34"/>
              <w:outlineLvl w:val="1"/>
              <w:rPr>
                <w:bCs/>
                <w:iCs/>
                <w:lang w:eastAsia="en-US"/>
              </w:rPr>
            </w:pPr>
          </w:p>
        </w:tc>
      </w:tr>
      <w:tr w:rsidR="00407D7B" w:rsidRPr="006C782A" w14:paraId="604D324B" w14:textId="77777777" w:rsidTr="00450268">
        <w:trPr>
          <w:trHeight w:val="282"/>
        </w:trPr>
        <w:tc>
          <w:tcPr>
            <w:tcW w:w="585" w:type="dxa"/>
            <w:shd w:val="clear" w:color="auto" w:fill="auto"/>
            <w:vAlign w:val="center"/>
          </w:tcPr>
          <w:p w14:paraId="68A3B2ED" w14:textId="77777777" w:rsidR="00407D7B" w:rsidRPr="006C782A" w:rsidRDefault="00407D7B" w:rsidP="00407D7B">
            <w:pPr>
              <w:numPr>
                <w:ilvl w:val="0"/>
                <w:numId w:val="18"/>
              </w:numPr>
              <w:autoSpaceDE/>
              <w:autoSpaceDN/>
              <w:rPr>
                <w:lang w:eastAsia="en-US"/>
              </w:rPr>
            </w:pPr>
          </w:p>
        </w:tc>
        <w:tc>
          <w:tcPr>
            <w:tcW w:w="6127" w:type="dxa"/>
            <w:shd w:val="clear" w:color="auto" w:fill="auto"/>
          </w:tcPr>
          <w:p w14:paraId="6B141F3D" w14:textId="77777777" w:rsidR="00407D7B" w:rsidRPr="006C782A" w:rsidRDefault="00407D7B" w:rsidP="00407D7B">
            <w:pPr>
              <w:autoSpaceDE/>
              <w:autoSpaceDN/>
              <w:jc w:val="both"/>
              <w:rPr>
                <w:lang w:eastAsia="en-US"/>
              </w:rPr>
            </w:pPr>
            <w:r w:rsidRPr="006C782A">
              <w:rPr>
                <w:lang w:eastAsia="en-US"/>
              </w:rPr>
              <w:t>Seadmega peab olema kaasas eestikeelne kasutusjuhend digitaalsel kujul ja paberkandjal ning inglise keelne kasutusjuhend digitaalsel kujul.</w:t>
            </w:r>
          </w:p>
        </w:tc>
        <w:tc>
          <w:tcPr>
            <w:tcW w:w="1483" w:type="dxa"/>
            <w:shd w:val="clear" w:color="auto" w:fill="auto"/>
          </w:tcPr>
          <w:p w14:paraId="7DFF4BA3" w14:textId="77777777" w:rsidR="00407D7B" w:rsidRPr="006C782A" w:rsidRDefault="00407D7B" w:rsidP="00407D7B">
            <w:pPr>
              <w:keepNext/>
              <w:tabs>
                <w:tab w:val="num" w:pos="-108"/>
              </w:tabs>
              <w:autoSpaceDE/>
              <w:autoSpaceDN/>
              <w:spacing w:before="240" w:after="60"/>
              <w:ind w:left="34"/>
              <w:outlineLvl w:val="1"/>
              <w:rPr>
                <w:bCs/>
                <w:iCs/>
                <w:lang w:eastAsia="en-US"/>
              </w:rPr>
            </w:pPr>
          </w:p>
        </w:tc>
        <w:tc>
          <w:tcPr>
            <w:tcW w:w="1456" w:type="dxa"/>
            <w:shd w:val="clear" w:color="auto" w:fill="auto"/>
          </w:tcPr>
          <w:p w14:paraId="46059C62" w14:textId="77777777" w:rsidR="00407D7B" w:rsidRPr="006C782A" w:rsidRDefault="00407D7B" w:rsidP="00407D7B">
            <w:pPr>
              <w:keepNext/>
              <w:tabs>
                <w:tab w:val="num" w:pos="-108"/>
              </w:tabs>
              <w:autoSpaceDE/>
              <w:autoSpaceDN/>
              <w:spacing w:before="240" w:after="60"/>
              <w:ind w:left="34"/>
              <w:outlineLvl w:val="1"/>
              <w:rPr>
                <w:bCs/>
                <w:iCs/>
                <w:lang w:eastAsia="en-US"/>
              </w:rPr>
            </w:pPr>
          </w:p>
        </w:tc>
      </w:tr>
      <w:tr w:rsidR="00407D7B" w:rsidRPr="006C782A" w14:paraId="5B22304A" w14:textId="77777777" w:rsidTr="00450268">
        <w:trPr>
          <w:trHeight w:val="282"/>
        </w:trPr>
        <w:tc>
          <w:tcPr>
            <w:tcW w:w="585" w:type="dxa"/>
            <w:shd w:val="clear" w:color="auto" w:fill="auto"/>
            <w:vAlign w:val="center"/>
          </w:tcPr>
          <w:p w14:paraId="0C8F4728" w14:textId="77777777" w:rsidR="00407D7B" w:rsidRPr="006C782A" w:rsidRDefault="00407D7B" w:rsidP="00407D7B">
            <w:pPr>
              <w:numPr>
                <w:ilvl w:val="0"/>
                <w:numId w:val="18"/>
              </w:numPr>
              <w:autoSpaceDE/>
              <w:autoSpaceDN/>
              <w:rPr>
                <w:lang w:eastAsia="en-US"/>
              </w:rPr>
            </w:pPr>
          </w:p>
        </w:tc>
        <w:tc>
          <w:tcPr>
            <w:tcW w:w="6127" w:type="dxa"/>
            <w:shd w:val="clear" w:color="auto" w:fill="auto"/>
          </w:tcPr>
          <w:p w14:paraId="6FA99030" w14:textId="77777777" w:rsidR="00407D7B" w:rsidRPr="006C782A" w:rsidRDefault="00407D7B" w:rsidP="00407D7B">
            <w:pPr>
              <w:autoSpaceDE/>
              <w:autoSpaceDN/>
              <w:jc w:val="both"/>
              <w:rPr>
                <w:lang w:eastAsia="en-US"/>
              </w:rPr>
            </w:pPr>
            <w:r w:rsidRPr="006C782A">
              <w:rPr>
                <w:lang w:eastAsia="en-US"/>
              </w:rPr>
              <w:t>Seadmega peab olema kaasas tehnilise hoolduse ja remondiga seotud dokumentatsioon (hooldeplaanid ja hooldusjuhend, tehniline kirjeldus koos diagrammidega jne) digitaalsel kujul.</w:t>
            </w:r>
          </w:p>
        </w:tc>
        <w:tc>
          <w:tcPr>
            <w:tcW w:w="1483" w:type="dxa"/>
            <w:shd w:val="clear" w:color="auto" w:fill="auto"/>
          </w:tcPr>
          <w:p w14:paraId="570D664A" w14:textId="77777777" w:rsidR="00407D7B" w:rsidRPr="006C782A" w:rsidRDefault="00407D7B" w:rsidP="00407D7B">
            <w:pPr>
              <w:keepNext/>
              <w:tabs>
                <w:tab w:val="num" w:pos="-108"/>
              </w:tabs>
              <w:autoSpaceDE/>
              <w:autoSpaceDN/>
              <w:spacing w:before="240" w:after="60"/>
              <w:ind w:left="34"/>
              <w:outlineLvl w:val="1"/>
              <w:rPr>
                <w:bCs/>
                <w:iCs/>
                <w:lang w:eastAsia="en-US"/>
              </w:rPr>
            </w:pPr>
          </w:p>
        </w:tc>
        <w:tc>
          <w:tcPr>
            <w:tcW w:w="1456" w:type="dxa"/>
            <w:shd w:val="clear" w:color="auto" w:fill="auto"/>
          </w:tcPr>
          <w:p w14:paraId="381A119B" w14:textId="77777777" w:rsidR="00407D7B" w:rsidRPr="006C782A" w:rsidRDefault="00407D7B" w:rsidP="00407D7B">
            <w:pPr>
              <w:keepNext/>
              <w:tabs>
                <w:tab w:val="num" w:pos="-108"/>
              </w:tabs>
              <w:autoSpaceDE/>
              <w:autoSpaceDN/>
              <w:spacing w:before="240" w:after="60"/>
              <w:ind w:left="34"/>
              <w:outlineLvl w:val="1"/>
              <w:rPr>
                <w:bCs/>
                <w:iCs/>
                <w:lang w:eastAsia="en-US"/>
              </w:rPr>
            </w:pPr>
          </w:p>
        </w:tc>
      </w:tr>
    </w:tbl>
    <w:p w14:paraId="4FA6B653" w14:textId="77777777" w:rsidR="00407D7B" w:rsidRPr="006C782A" w:rsidRDefault="00407D7B" w:rsidP="00827F88">
      <w:pPr>
        <w:jc w:val="both"/>
        <w:rPr>
          <w:b/>
          <w:iCs/>
        </w:rPr>
      </w:pPr>
    </w:p>
    <w:p w14:paraId="1446BFDF" w14:textId="76D0834F" w:rsidR="00416D56" w:rsidRDefault="00416D56" w:rsidP="00791563">
      <w:pPr>
        <w:spacing w:before="120"/>
        <w:jc w:val="both"/>
      </w:pPr>
      <w:r w:rsidRPr="00416D56">
        <w:t xml:space="preserve">Pakkujate pakkumused </w:t>
      </w:r>
      <w:r w:rsidR="003B56D9">
        <w:t xml:space="preserve">peavad olema jõus vähemalt </w:t>
      </w:r>
      <w:r w:rsidR="00C7325D">
        <w:t>6</w:t>
      </w:r>
      <w:r w:rsidR="007E6D94" w:rsidRPr="00264D91">
        <w:t>0</w:t>
      </w:r>
      <w:r w:rsidR="003B56D9" w:rsidRPr="00264D91">
        <w:t xml:space="preserve"> </w:t>
      </w:r>
      <w:r w:rsidRPr="00264D91">
        <w:t>kalendripäeva</w:t>
      </w:r>
      <w:r w:rsidRPr="00416D56">
        <w:t xml:space="preserve"> arvestatuna pakkumuste esitamise tähtpäevast.</w:t>
      </w:r>
    </w:p>
    <w:p w14:paraId="48930F7B" w14:textId="7B9AF2CD" w:rsidR="00416D56" w:rsidRDefault="00E452B5" w:rsidP="00791563">
      <w:pPr>
        <w:spacing w:before="120"/>
        <w:jc w:val="both"/>
      </w:pPr>
      <w:r>
        <w:t>Pakkumuse esitamisega pakkuja kinnitab, et tal puuduvad RHS § 95 lg 1-</w:t>
      </w:r>
      <w:r w:rsidR="0001516C">
        <w:t>4</w:t>
      </w:r>
      <w:r>
        <w:t xml:space="preserve"> nimetatud </w:t>
      </w:r>
      <w:r w:rsidR="00D84DFB">
        <w:t>kõrvaldamise alused.</w:t>
      </w:r>
    </w:p>
    <w:p w14:paraId="61FCB80A" w14:textId="19204DDA" w:rsidR="00441916" w:rsidRDefault="00441916" w:rsidP="00791563">
      <w:pPr>
        <w:spacing w:before="120"/>
        <w:jc w:val="both"/>
      </w:pPr>
      <w:r>
        <w:t xml:space="preserve">Pakkumuse esitamisega pakkuja kinnitab, et </w:t>
      </w:r>
      <w:r w:rsidR="009344FB">
        <w:t>pakkumus</w:t>
      </w:r>
      <w:r>
        <w:t xml:space="preserve"> vastab kõikidele käesolevast </w:t>
      </w:r>
      <w:r w:rsidR="00C7325D">
        <w:t>hankedokumendist</w:t>
      </w:r>
      <w:r>
        <w:t xml:space="preserve"> tulenevatele tingimustele ning et ta nõustub kõikide käesolevast dokumendist tulenevate tingimustega.</w:t>
      </w:r>
    </w:p>
    <w:p w14:paraId="24FB2E15" w14:textId="5323ADF9" w:rsidR="00827F88" w:rsidRDefault="00827F88" w:rsidP="00441916">
      <w:pPr>
        <w:jc w:val="both"/>
      </w:pPr>
    </w:p>
    <w:p w14:paraId="372D4C39" w14:textId="77777777" w:rsidR="00441916" w:rsidRDefault="00441916" w:rsidP="009D7A04">
      <w:pPr>
        <w:jc w:val="both"/>
      </w:pPr>
    </w:p>
    <w:p w14:paraId="44DC935A" w14:textId="77777777" w:rsidR="009D7A04" w:rsidRDefault="00FA44A9" w:rsidP="009D7A04">
      <w:pPr>
        <w:jc w:val="both"/>
      </w:pPr>
      <w:r>
        <w:t>Ametinimetus:</w:t>
      </w:r>
      <w:r w:rsidR="009D7A04" w:rsidRPr="00205701">
        <w:tab/>
        <w:t xml:space="preserve">  </w:t>
      </w:r>
      <w:r w:rsidR="009D7A04" w:rsidRPr="00441916">
        <w:t>....</w:t>
      </w:r>
      <w:r>
        <w:t xml:space="preserve">........................  </w:t>
      </w:r>
    </w:p>
    <w:p w14:paraId="5D0DB837" w14:textId="77777777" w:rsidR="00FA44A9" w:rsidRPr="00205701" w:rsidRDefault="00FA44A9" w:rsidP="009D7A04">
      <w:pPr>
        <w:jc w:val="both"/>
      </w:pPr>
    </w:p>
    <w:p w14:paraId="60A73EE9" w14:textId="77777777" w:rsidR="00BE7C30" w:rsidRDefault="00FA44A9" w:rsidP="00FA44A9">
      <w:pPr>
        <w:snapToGrid w:val="0"/>
        <w:spacing w:line="100" w:lineRule="atLeast"/>
        <w:rPr>
          <w:sz w:val="22"/>
          <w:szCs w:val="22"/>
          <w:lang w:eastAsia="en-US"/>
        </w:rPr>
      </w:pPr>
      <w:r>
        <w:rPr>
          <w:sz w:val="22"/>
          <w:szCs w:val="22"/>
          <w:lang w:eastAsia="en-US"/>
        </w:rPr>
        <w:t>Pakkumuse</w:t>
      </w:r>
      <w:r w:rsidRPr="00246647">
        <w:rPr>
          <w:sz w:val="22"/>
          <w:szCs w:val="22"/>
          <w:lang w:eastAsia="en-US"/>
        </w:rPr>
        <w:t xml:space="preserve"> koostaja kinnitab esitatud andmete õigsust (nimi ja allkiri):</w:t>
      </w:r>
      <w:r>
        <w:rPr>
          <w:sz w:val="22"/>
          <w:szCs w:val="22"/>
          <w:lang w:eastAsia="en-US"/>
        </w:rPr>
        <w:t xml:space="preserve"> ...............</w:t>
      </w:r>
      <w:r w:rsidR="00E03E82">
        <w:rPr>
          <w:sz w:val="22"/>
          <w:szCs w:val="22"/>
          <w:lang w:eastAsia="en-US"/>
        </w:rPr>
        <w:t>............</w:t>
      </w:r>
    </w:p>
    <w:p w14:paraId="7260EB9F" w14:textId="080FC939" w:rsidR="00FA44A9" w:rsidRPr="00246647" w:rsidRDefault="00FA44A9" w:rsidP="00FA44A9">
      <w:pPr>
        <w:snapToGrid w:val="0"/>
        <w:spacing w:line="100" w:lineRule="atLeast"/>
        <w:rPr>
          <w:sz w:val="22"/>
          <w:szCs w:val="22"/>
          <w:lang w:eastAsia="en-US"/>
        </w:rPr>
      </w:pPr>
      <w:r>
        <w:rPr>
          <w:sz w:val="22"/>
          <w:szCs w:val="22"/>
          <w:lang w:eastAsia="en-US"/>
        </w:rPr>
        <w:t xml:space="preserve"> /allkirjastatud digitaalselt/</w:t>
      </w:r>
    </w:p>
    <w:p w14:paraId="0B3C2435" w14:textId="77777777" w:rsidR="009F36EA" w:rsidRPr="00591CBA" w:rsidRDefault="004D68E1" w:rsidP="00FA44A9">
      <w:pPr>
        <w:pStyle w:val="Title"/>
        <w:jc w:val="left"/>
        <w:rPr>
          <w:b w:val="0"/>
          <w:sz w:val="24"/>
          <w:szCs w:val="24"/>
        </w:rPr>
      </w:pPr>
    </w:p>
    <w:p w14:paraId="1D45B908" w14:textId="77777777" w:rsidR="008E5BB1" w:rsidRDefault="008E5BB1" w:rsidP="008E5BB1">
      <w:pPr>
        <w:pStyle w:val="Title"/>
        <w:jc w:val="left"/>
        <w:rPr>
          <w:b w:val="0"/>
          <w:sz w:val="24"/>
          <w:szCs w:val="24"/>
        </w:rPr>
      </w:pPr>
      <w:r w:rsidRPr="00591CBA">
        <w:rPr>
          <w:b w:val="0"/>
          <w:sz w:val="24"/>
          <w:szCs w:val="24"/>
        </w:rPr>
        <w:t>Allkirjastamise kuupäevaks loetakse digitaalallkirja kuupäeva.</w:t>
      </w:r>
    </w:p>
    <w:p w14:paraId="324D80FE" w14:textId="77777777" w:rsidR="002903F8" w:rsidRDefault="002903F8" w:rsidP="008E5BB1">
      <w:pPr>
        <w:pStyle w:val="Title"/>
        <w:jc w:val="left"/>
        <w:rPr>
          <w:b w:val="0"/>
          <w:sz w:val="24"/>
          <w:szCs w:val="24"/>
        </w:rPr>
      </w:pPr>
    </w:p>
    <w:p w14:paraId="5495892C" w14:textId="77777777" w:rsidR="002903F8" w:rsidRPr="008E5BB1" w:rsidRDefault="002903F8" w:rsidP="008E5BB1">
      <w:pPr>
        <w:pStyle w:val="Title"/>
        <w:jc w:val="left"/>
        <w:rPr>
          <w:b w:val="0"/>
        </w:rPr>
      </w:pPr>
    </w:p>
    <w:sectPr w:rsidR="002903F8" w:rsidRPr="008E5BB1" w:rsidSect="00272E4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9A3B07" w14:textId="77777777" w:rsidR="003B2FAD" w:rsidRDefault="003B2FAD" w:rsidP="00416D56">
      <w:r>
        <w:separator/>
      </w:r>
    </w:p>
  </w:endnote>
  <w:endnote w:type="continuationSeparator" w:id="0">
    <w:p w14:paraId="1C0AE3C5" w14:textId="77777777" w:rsidR="003B2FAD" w:rsidRDefault="003B2FAD" w:rsidP="00416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13476" w14:textId="77777777" w:rsidR="003B2FAD" w:rsidRDefault="003B2FAD" w:rsidP="00416D56">
      <w:r>
        <w:separator/>
      </w:r>
    </w:p>
  </w:footnote>
  <w:footnote w:type="continuationSeparator" w:id="0">
    <w:p w14:paraId="6D55DB77" w14:textId="77777777" w:rsidR="003B2FAD" w:rsidRDefault="003B2FAD" w:rsidP="00416D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7575"/>
    <w:multiLevelType w:val="multilevel"/>
    <w:tmpl w:val="1DB29882"/>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b w:val="0"/>
      </w:rPr>
    </w:lvl>
    <w:lvl w:ilvl="2">
      <w:start w:val="1"/>
      <w:numFmt w:val="decimal"/>
      <w:lvlText w:val="%1.%2.%3."/>
      <w:lvlJc w:val="left"/>
      <w:pPr>
        <w:ind w:left="357" w:hanging="357"/>
      </w:pPr>
      <w:rPr>
        <w:rFonts w:hint="default"/>
        <w:b w:val="0"/>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 w15:restartNumberingAfterBreak="0">
    <w:nsid w:val="01CD3300"/>
    <w:multiLevelType w:val="hybridMultilevel"/>
    <w:tmpl w:val="10062DC4"/>
    <w:lvl w:ilvl="0" w:tplc="CF5C76FC">
      <w:start w:val="1"/>
      <w:numFmt w:val="decimal"/>
      <w:lvlText w:val="%1."/>
      <w:lvlJc w:val="left"/>
      <w:pPr>
        <w:ind w:left="720" w:hanging="360"/>
      </w:pPr>
      <w:rPr>
        <w:rFonts w:hint="default"/>
        <w:u w:val="single"/>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58E46F9"/>
    <w:multiLevelType w:val="hybridMultilevel"/>
    <w:tmpl w:val="F65A8270"/>
    <w:lvl w:ilvl="0" w:tplc="79842E6A">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265C50BB"/>
    <w:multiLevelType w:val="hybridMultilevel"/>
    <w:tmpl w:val="3EC807B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F6324EB"/>
    <w:multiLevelType w:val="hybridMultilevel"/>
    <w:tmpl w:val="81F29278"/>
    <w:lvl w:ilvl="0" w:tplc="8C204F32">
      <w:start w:val="1"/>
      <w:numFmt w:val="decimal"/>
      <w:lvlText w:val="1.%1."/>
      <w:lvlJc w:val="left"/>
      <w:pPr>
        <w:ind w:left="360" w:hanging="360"/>
      </w:pPr>
      <w:rPr>
        <w:rFonts w:hint="default"/>
        <w:b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35A7127F"/>
    <w:multiLevelType w:val="multilevel"/>
    <w:tmpl w:val="4E34A9A6"/>
    <w:lvl w:ilvl="0">
      <w:start w:val="1"/>
      <w:numFmt w:val="decimal"/>
      <w:pStyle w:val="Heading1"/>
      <w:lvlText w:val="%1"/>
      <w:lvlJc w:val="left"/>
      <w:pPr>
        <w:tabs>
          <w:tab w:val="num" w:pos="360"/>
        </w:tabs>
        <w:ind w:left="284" w:hanging="284"/>
      </w:pPr>
      <w:rPr>
        <w:rFonts w:ascii="Times New Roman" w:hAnsi="Times New Roman" w:hint="default"/>
        <w:b/>
        <w:i w:val="0"/>
        <w:sz w:val="24"/>
        <w:szCs w:val="24"/>
      </w:rPr>
    </w:lvl>
    <w:lvl w:ilvl="1">
      <w:start w:val="1"/>
      <w:numFmt w:val="decimal"/>
      <w:pStyle w:val="Tase2"/>
      <w:lvlText w:val="%1.%2"/>
      <w:lvlJc w:val="left"/>
      <w:pPr>
        <w:tabs>
          <w:tab w:val="num" w:pos="851"/>
        </w:tabs>
        <w:ind w:left="851" w:hanging="567"/>
      </w:pPr>
      <w:rPr>
        <w:rFonts w:ascii="Times New Roman" w:eastAsia="Times New Roman" w:hAnsi="Times New Roman" w:cs="Times New Roman"/>
        <w:b/>
        <w:i w:val="0"/>
        <w:sz w:val="22"/>
        <w:szCs w:val="22"/>
      </w:rPr>
    </w:lvl>
    <w:lvl w:ilvl="2">
      <w:start w:val="1"/>
      <w:numFmt w:val="lowerLetter"/>
      <w:lvlText w:val="%3)"/>
      <w:lvlJc w:val="left"/>
      <w:pPr>
        <w:tabs>
          <w:tab w:val="num" w:pos="1588"/>
        </w:tabs>
        <w:ind w:left="1588" w:hanging="737"/>
      </w:pPr>
      <w:rPr>
        <w:rFonts w:ascii="Times New Roman" w:eastAsia="Times New Roman" w:hAnsi="Times New Roman" w:cs="Times New Roman"/>
        <w:b w:val="0"/>
        <w:i w:val="0"/>
        <w:color w:val="auto"/>
        <w:sz w:val="22"/>
        <w:szCs w:val="22"/>
      </w:rPr>
    </w:lvl>
    <w:lvl w:ilvl="3">
      <w:start w:val="1"/>
      <w:numFmt w:val="decimal"/>
      <w:lvlText w:val="%1.%2.%3.%4"/>
      <w:lvlJc w:val="left"/>
      <w:pPr>
        <w:tabs>
          <w:tab w:val="num" w:pos="2835"/>
        </w:tabs>
        <w:ind w:left="2835" w:hanging="1417"/>
      </w:pPr>
      <w:rPr>
        <w:b w:val="0"/>
        <w:i w:val="0"/>
        <w:sz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C800F22"/>
    <w:multiLevelType w:val="hybridMultilevel"/>
    <w:tmpl w:val="9474C81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51DA690B"/>
    <w:multiLevelType w:val="hybridMultilevel"/>
    <w:tmpl w:val="3E080382"/>
    <w:lvl w:ilvl="0" w:tplc="2D00BA70">
      <w:start w:val="1"/>
      <w:numFmt w:val="decimal"/>
      <w:lvlText w:val="2.%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15:restartNumberingAfterBreak="0">
    <w:nsid w:val="5B7E2B26"/>
    <w:multiLevelType w:val="hybridMultilevel"/>
    <w:tmpl w:val="0D5850E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9" w15:restartNumberingAfterBreak="0">
    <w:nsid w:val="60B25ECC"/>
    <w:multiLevelType w:val="hybridMultilevel"/>
    <w:tmpl w:val="65AE3EDA"/>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0" w15:restartNumberingAfterBreak="0">
    <w:nsid w:val="62EE1F38"/>
    <w:multiLevelType w:val="hybridMultilevel"/>
    <w:tmpl w:val="8E12B28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71005552"/>
    <w:multiLevelType w:val="multilevel"/>
    <w:tmpl w:val="1DB29882"/>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b w:val="0"/>
      </w:rPr>
    </w:lvl>
    <w:lvl w:ilvl="2">
      <w:start w:val="1"/>
      <w:numFmt w:val="decimal"/>
      <w:lvlText w:val="%1.%2.%3."/>
      <w:lvlJc w:val="left"/>
      <w:pPr>
        <w:ind w:left="357" w:hanging="357"/>
      </w:pPr>
      <w:rPr>
        <w:rFonts w:hint="default"/>
        <w:b w:val="0"/>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2" w15:restartNumberingAfterBreak="0">
    <w:nsid w:val="728535EB"/>
    <w:multiLevelType w:val="hybridMultilevel"/>
    <w:tmpl w:val="D990FF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749C58FB"/>
    <w:multiLevelType w:val="hybridMultilevel"/>
    <w:tmpl w:val="0AEEC0DE"/>
    <w:lvl w:ilvl="0" w:tplc="CF5C76FC">
      <w:start w:val="1"/>
      <w:numFmt w:val="decimal"/>
      <w:lvlText w:val="%1."/>
      <w:lvlJc w:val="left"/>
      <w:pPr>
        <w:ind w:left="720" w:hanging="360"/>
      </w:pPr>
      <w:rPr>
        <w:rFonts w:hint="default"/>
        <w:u w:val="single"/>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78331619"/>
    <w:multiLevelType w:val="hybridMultilevel"/>
    <w:tmpl w:val="AA68F0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BD14A90"/>
    <w:multiLevelType w:val="hybridMultilevel"/>
    <w:tmpl w:val="2B2EF8AA"/>
    <w:lvl w:ilvl="0" w:tplc="49966646">
      <w:start w:val="1"/>
      <w:numFmt w:val="bullet"/>
      <w:lvlText w:val=""/>
      <w:lvlJc w:val="left"/>
      <w:pPr>
        <w:tabs>
          <w:tab w:val="num" w:pos="1440"/>
        </w:tabs>
        <w:ind w:left="1440" w:hanging="360"/>
      </w:pPr>
      <w:rPr>
        <w:rFonts w:ascii="Symbol" w:hAnsi="Symbol" w:hint="default"/>
      </w:rPr>
    </w:lvl>
    <w:lvl w:ilvl="1" w:tplc="0425000F">
      <w:start w:val="1"/>
      <w:numFmt w:val="decimal"/>
      <w:lvlText w:val="%2."/>
      <w:lvlJc w:val="left"/>
      <w:pPr>
        <w:tabs>
          <w:tab w:val="num" w:pos="1440"/>
        </w:tabs>
        <w:ind w:left="1440" w:hanging="360"/>
      </w:pPr>
      <w:rPr>
        <w:rFonts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8"/>
  </w:num>
  <w:num w:numId="3">
    <w:abstractNumId w:val="3"/>
  </w:num>
  <w:num w:numId="4">
    <w:abstractNumId w:val="10"/>
  </w:num>
  <w:num w:numId="5">
    <w:abstractNumId w:val="0"/>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num>
  <w:num w:numId="10">
    <w:abstractNumId w:val="12"/>
  </w:num>
  <w:num w:numId="11">
    <w:abstractNumId w:val="2"/>
  </w:num>
  <w:num w:numId="12">
    <w:abstractNumId w:val="15"/>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9"/>
  </w:num>
  <w:num w:numId="16">
    <w:abstractNumId w:val="13"/>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9FB"/>
    <w:rsid w:val="0000458B"/>
    <w:rsid w:val="000057EF"/>
    <w:rsid w:val="0001235F"/>
    <w:rsid w:val="00014F96"/>
    <w:rsid w:val="0001516C"/>
    <w:rsid w:val="00021963"/>
    <w:rsid w:val="00021EAF"/>
    <w:rsid w:val="0002723F"/>
    <w:rsid w:val="000667E7"/>
    <w:rsid w:val="000756C1"/>
    <w:rsid w:val="00077DBF"/>
    <w:rsid w:val="00087C2B"/>
    <w:rsid w:val="00093758"/>
    <w:rsid w:val="000A115D"/>
    <w:rsid w:val="000C08A6"/>
    <w:rsid w:val="000C3013"/>
    <w:rsid w:val="000E2F27"/>
    <w:rsid w:val="000E414A"/>
    <w:rsid w:val="000F30E6"/>
    <w:rsid w:val="000F5C2C"/>
    <w:rsid w:val="000F69FB"/>
    <w:rsid w:val="0010423D"/>
    <w:rsid w:val="00104528"/>
    <w:rsid w:val="00143EB5"/>
    <w:rsid w:val="00154470"/>
    <w:rsid w:val="0019575E"/>
    <w:rsid w:val="001D2737"/>
    <w:rsid w:val="001E075F"/>
    <w:rsid w:val="001F0DFA"/>
    <w:rsid w:val="002145FE"/>
    <w:rsid w:val="00221CDD"/>
    <w:rsid w:val="00243F46"/>
    <w:rsid w:val="00255AC5"/>
    <w:rsid w:val="00264D91"/>
    <w:rsid w:val="00272E44"/>
    <w:rsid w:val="00277C8A"/>
    <w:rsid w:val="0028306D"/>
    <w:rsid w:val="00284F65"/>
    <w:rsid w:val="002903F8"/>
    <w:rsid w:val="00292F26"/>
    <w:rsid w:val="002C6631"/>
    <w:rsid w:val="002E7308"/>
    <w:rsid w:val="002F5696"/>
    <w:rsid w:val="002F6DDD"/>
    <w:rsid w:val="003156C7"/>
    <w:rsid w:val="0032238C"/>
    <w:rsid w:val="003249E5"/>
    <w:rsid w:val="00346ECD"/>
    <w:rsid w:val="00352735"/>
    <w:rsid w:val="003577F4"/>
    <w:rsid w:val="00380931"/>
    <w:rsid w:val="003A606F"/>
    <w:rsid w:val="003B2FAD"/>
    <w:rsid w:val="003B56D9"/>
    <w:rsid w:val="003D58DA"/>
    <w:rsid w:val="003E7955"/>
    <w:rsid w:val="00403C48"/>
    <w:rsid w:val="004040AA"/>
    <w:rsid w:val="00404484"/>
    <w:rsid w:val="00407D7B"/>
    <w:rsid w:val="00416D56"/>
    <w:rsid w:val="004205B3"/>
    <w:rsid w:val="00433293"/>
    <w:rsid w:val="00441916"/>
    <w:rsid w:val="00442BBE"/>
    <w:rsid w:val="00454089"/>
    <w:rsid w:val="00462BDD"/>
    <w:rsid w:val="00464AC2"/>
    <w:rsid w:val="00482386"/>
    <w:rsid w:val="00492CFC"/>
    <w:rsid w:val="004A071C"/>
    <w:rsid w:val="004B7FC5"/>
    <w:rsid w:val="004D68E1"/>
    <w:rsid w:val="004F1F79"/>
    <w:rsid w:val="004F5A5B"/>
    <w:rsid w:val="00500180"/>
    <w:rsid w:val="00506893"/>
    <w:rsid w:val="00506F56"/>
    <w:rsid w:val="0051338E"/>
    <w:rsid w:val="005214FC"/>
    <w:rsid w:val="00531323"/>
    <w:rsid w:val="00550DCA"/>
    <w:rsid w:val="00555638"/>
    <w:rsid w:val="00557660"/>
    <w:rsid w:val="00574482"/>
    <w:rsid w:val="00583848"/>
    <w:rsid w:val="005870D4"/>
    <w:rsid w:val="00591CBA"/>
    <w:rsid w:val="00594953"/>
    <w:rsid w:val="005E60FF"/>
    <w:rsid w:val="005E76C0"/>
    <w:rsid w:val="00617748"/>
    <w:rsid w:val="00642039"/>
    <w:rsid w:val="00642E16"/>
    <w:rsid w:val="00647F33"/>
    <w:rsid w:val="00665F04"/>
    <w:rsid w:val="00674A29"/>
    <w:rsid w:val="00682D08"/>
    <w:rsid w:val="006A7013"/>
    <w:rsid w:val="006C782A"/>
    <w:rsid w:val="006F2DF7"/>
    <w:rsid w:val="00730447"/>
    <w:rsid w:val="00734561"/>
    <w:rsid w:val="007360A5"/>
    <w:rsid w:val="00791563"/>
    <w:rsid w:val="00797836"/>
    <w:rsid w:val="007D6EFC"/>
    <w:rsid w:val="007D6F16"/>
    <w:rsid w:val="007E2547"/>
    <w:rsid w:val="007E6D94"/>
    <w:rsid w:val="007F6A85"/>
    <w:rsid w:val="00800C2A"/>
    <w:rsid w:val="00825F91"/>
    <w:rsid w:val="00827F88"/>
    <w:rsid w:val="008319C0"/>
    <w:rsid w:val="0083520B"/>
    <w:rsid w:val="00851871"/>
    <w:rsid w:val="00881865"/>
    <w:rsid w:val="008A15BF"/>
    <w:rsid w:val="008C07A2"/>
    <w:rsid w:val="008C43C8"/>
    <w:rsid w:val="008E18E4"/>
    <w:rsid w:val="008E5BB1"/>
    <w:rsid w:val="0091086E"/>
    <w:rsid w:val="009344FB"/>
    <w:rsid w:val="00945565"/>
    <w:rsid w:val="009532D8"/>
    <w:rsid w:val="00970B54"/>
    <w:rsid w:val="0097135D"/>
    <w:rsid w:val="0097733B"/>
    <w:rsid w:val="009A3A57"/>
    <w:rsid w:val="009C7CB5"/>
    <w:rsid w:val="009D7A04"/>
    <w:rsid w:val="00A43EC8"/>
    <w:rsid w:val="00A4441C"/>
    <w:rsid w:val="00A5373E"/>
    <w:rsid w:val="00A777C9"/>
    <w:rsid w:val="00AB7953"/>
    <w:rsid w:val="00AD3694"/>
    <w:rsid w:val="00AD39A0"/>
    <w:rsid w:val="00B2150F"/>
    <w:rsid w:val="00B3416B"/>
    <w:rsid w:val="00B5240E"/>
    <w:rsid w:val="00B56338"/>
    <w:rsid w:val="00B56D63"/>
    <w:rsid w:val="00B74845"/>
    <w:rsid w:val="00BA04DD"/>
    <w:rsid w:val="00BA7C63"/>
    <w:rsid w:val="00BD11FF"/>
    <w:rsid w:val="00BE663D"/>
    <w:rsid w:val="00BE7C30"/>
    <w:rsid w:val="00C0615B"/>
    <w:rsid w:val="00C53AD8"/>
    <w:rsid w:val="00C7325D"/>
    <w:rsid w:val="00C7511A"/>
    <w:rsid w:val="00C92E51"/>
    <w:rsid w:val="00C960FD"/>
    <w:rsid w:val="00CE2354"/>
    <w:rsid w:val="00CF45C8"/>
    <w:rsid w:val="00D0071C"/>
    <w:rsid w:val="00D11FD4"/>
    <w:rsid w:val="00D26581"/>
    <w:rsid w:val="00D33C7D"/>
    <w:rsid w:val="00D354CE"/>
    <w:rsid w:val="00D63620"/>
    <w:rsid w:val="00D71707"/>
    <w:rsid w:val="00D84DFB"/>
    <w:rsid w:val="00D91CB3"/>
    <w:rsid w:val="00DA4544"/>
    <w:rsid w:val="00DB2984"/>
    <w:rsid w:val="00DB2DB7"/>
    <w:rsid w:val="00DB3873"/>
    <w:rsid w:val="00DB4906"/>
    <w:rsid w:val="00DC2511"/>
    <w:rsid w:val="00DD454C"/>
    <w:rsid w:val="00DE7570"/>
    <w:rsid w:val="00E0095E"/>
    <w:rsid w:val="00E00A32"/>
    <w:rsid w:val="00E03E82"/>
    <w:rsid w:val="00E2131A"/>
    <w:rsid w:val="00E3490A"/>
    <w:rsid w:val="00E365F6"/>
    <w:rsid w:val="00E4285F"/>
    <w:rsid w:val="00E452B5"/>
    <w:rsid w:val="00E5044A"/>
    <w:rsid w:val="00E50F3A"/>
    <w:rsid w:val="00E91299"/>
    <w:rsid w:val="00EA0D34"/>
    <w:rsid w:val="00EB77FA"/>
    <w:rsid w:val="00EC77DE"/>
    <w:rsid w:val="00F04E46"/>
    <w:rsid w:val="00F36850"/>
    <w:rsid w:val="00F37A8F"/>
    <w:rsid w:val="00F449DB"/>
    <w:rsid w:val="00F67C44"/>
    <w:rsid w:val="00F75614"/>
    <w:rsid w:val="00F826FD"/>
    <w:rsid w:val="00FA3FC1"/>
    <w:rsid w:val="00FA4200"/>
    <w:rsid w:val="00FA44A9"/>
    <w:rsid w:val="00FB0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03C57"/>
  <w15:chartTrackingRefBased/>
  <w15:docId w15:val="{F4A2B9A7-CDAF-4A48-A1CC-1B37004DB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9FB"/>
    <w:pPr>
      <w:autoSpaceDE w:val="0"/>
      <w:autoSpaceDN w:val="0"/>
      <w:spacing w:after="0" w:line="240" w:lineRule="auto"/>
    </w:pPr>
    <w:rPr>
      <w:rFonts w:ascii="Times New Roman" w:eastAsia="Times New Roman" w:hAnsi="Times New Roman" w:cs="Times New Roman"/>
      <w:sz w:val="24"/>
      <w:szCs w:val="24"/>
      <w:lang w:val="et-EE" w:eastAsia="et-EE"/>
    </w:rPr>
  </w:style>
  <w:style w:type="paragraph" w:styleId="Heading1">
    <w:name w:val="heading 1"/>
    <w:basedOn w:val="Normal"/>
    <w:next w:val="Normal"/>
    <w:link w:val="Heading1Char"/>
    <w:qFormat/>
    <w:rsid w:val="002903F8"/>
    <w:pPr>
      <w:keepNext/>
      <w:numPr>
        <w:numId w:val="9"/>
      </w:numPr>
      <w:autoSpaceDE/>
      <w:autoSpaceDN/>
      <w:spacing w:before="240" w:after="60"/>
      <w:outlineLvl w:val="0"/>
    </w:pPr>
    <w:rPr>
      <w:rFonts w:ascii="Arial" w:hAnsi="Arial"/>
      <w:b/>
      <w:kern w:val="28"/>
      <w:sz w:val="22"/>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674A29"/>
    <w:pPr>
      <w:autoSpaceDE/>
      <w:autoSpaceDN/>
      <w:spacing w:after="200"/>
    </w:pPr>
    <w:rPr>
      <w:rFonts w:ascii="Calibri" w:eastAsiaTheme="minorHAnsi" w:hAnsi="Calibri" w:cs="Calibri"/>
      <w:i/>
      <w:iCs/>
      <w:color w:val="44546A" w:themeColor="text2"/>
      <w:sz w:val="18"/>
      <w:szCs w:val="18"/>
      <w:lang w:eastAsia="en-US"/>
    </w:rPr>
  </w:style>
  <w:style w:type="paragraph" w:styleId="Title">
    <w:name w:val="Title"/>
    <w:basedOn w:val="Normal"/>
    <w:link w:val="TitleChar"/>
    <w:uiPriority w:val="10"/>
    <w:qFormat/>
    <w:rsid w:val="00674A29"/>
    <w:pPr>
      <w:autoSpaceDE/>
      <w:autoSpaceDN/>
      <w:jc w:val="center"/>
    </w:pPr>
    <w:rPr>
      <w:rFonts w:eastAsiaTheme="minorHAnsi"/>
      <w:b/>
      <w:bCs/>
      <w:sz w:val="28"/>
      <w:szCs w:val="28"/>
      <w:lang w:eastAsia="en-US"/>
    </w:rPr>
  </w:style>
  <w:style w:type="character" w:customStyle="1" w:styleId="TitleChar">
    <w:name w:val="Title Char"/>
    <w:basedOn w:val="DefaultParagraphFont"/>
    <w:link w:val="Title"/>
    <w:uiPriority w:val="10"/>
    <w:rsid w:val="00674A29"/>
    <w:rPr>
      <w:rFonts w:ascii="Times New Roman" w:hAnsi="Times New Roman" w:cs="Times New Roman"/>
      <w:b/>
      <w:bCs/>
      <w:sz w:val="28"/>
      <w:szCs w:val="28"/>
      <w:lang w:val="et-EE"/>
    </w:rPr>
  </w:style>
  <w:style w:type="character" w:styleId="Hyperlink">
    <w:name w:val="Hyperlink"/>
    <w:basedOn w:val="DefaultParagraphFont"/>
    <w:uiPriority w:val="99"/>
    <w:unhideWhenUsed/>
    <w:rsid w:val="00EC77DE"/>
    <w:rPr>
      <w:color w:val="0563C1" w:themeColor="hyperlink"/>
      <w:u w:val="single"/>
    </w:rPr>
  </w:style>
  <w:style w:type="character" w:styleId="CommentReference">
    <w:name w:val="annotation reference"/>
    <w:basedOn w:val="DefaultParagraphFont"/>
    <w:uiPriority w:val="99"/>
    <w:semiHidden/>
    <w:unhideWhenUsed/>
    <w:rsid w:val="005870D4"/>
    <w:rPr>
      <w:sz w:val="16"/>
      <w:szCs w:val="16"/>
    </w:rPr>
  </w:style>
  <w:style w:type="paragraph" w:styleId="CommentText">
    <w:name w:val="annotation text"/>
    <w:basedOn w:val="Normal"/>
    <w:link w:val="CommentTextChar"/>
    <w:uiPriority w:val="99"/>
    <w:unhideWhenUsed/>
    <w:rsid w:val="005870D4"/>
    <w:rPr>
      <w:sz w:val="20"/>
      <w:szCs w:val="20"/>
    </w:rPr>
  </w:style>
  <w:style w:type="character" w:customStyle="1" w:styleId="CommentTextChar">
    <w:name w:val="Comment Text Char"/>
    <w:basedOn w:val="DefaultParagraphFont"/>
    <w:link w:val="CommentText"/>
    <w:uiPriority w:val="99"/>
    <w:rsid w:val="005870D4"/>
    <w:rPr>
      <w:rFonts w:ascii="Times New Roman" w:eastAsia="Times New Roman" w:hAnsi="Times New Roman" w:cs="Times New Roman"/>
      <w:sz w:val="20"/>
      <w:szCs w:val="20"/>
      <w:lang w:val="et-EE" w:eastAsia="et-EE"/>
    </w:rPr>
  </w:style>
  <w:style w:type="paragraph" w:styleId="BalloonText">
    <w:name w:val="Balloon Text"/>
    <w:basedOn w:val="Normal"/>
    <w:link w:val="BalloonTextChar"/>
    <w:uiPriority w:val="99"/>
    <w:semiHidden/>
    <w:unhideWhenUsed/>
    <w:rsid w:val="005870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0D4"/>
    <w:rPr>
      <w:rFonts w:ascii="Segoe UI" w:eastAsia="Times New Roman" w:hAnsi="Segoe UI" w:cs="Segoe UI"/>
      <w:sz w:val="18"/>
      <w:szCs w:val="18"/>
      <w:lang w:val="et-EE" w:eastAsia="et-EE"/>
    </w:rPr>
  </w:style>
  <w:style w:type="paragraph" w:styleId="CommentSubject">
    <w:name w:val="annotation subject"/>
    <w:basedOn w:val="CommentText"/>
    <w:next w:val="CommentText"/>
    <w:link w:val="CommentSubjectChar"/>
    <w:uiPriority w:val="99"/>
    <w:semiHidden/>
    <w:unhideWhenUsed/>
    <w:rsid w:val="0001235F"/>
    <w:rPr>
      <w:b/>
      <w:bCs/>
    </w:rPr>
  </w:style>
  <w:style w:type="character" w:customStyle="1" w:styleId="CommentSubjectChar">
    <w:name w:val="Comment Subject Char"/>
    <w:basedOn w:val="CommentTextChar"/>
    <w:link w:val="CommentSubject"/>
    <w:uiPriority w:val="99"/>
    <w:semiHidden/>
    <w:rsid w:val="0001235F"/>
    <w:rPr>
      <w:rFonts w:ascii="Times New Roman" w:eastAsia="Times New Roman" w:hAnsi="Times New Roman" w:cs="Times New Roman"/>
      <w:b/>
      <w:bCs/>
      <w:sz w:val="20"/>
      <w:szCs w:val="20"/>
      <w:lang w:val="et-EE" w:eastAsia="et-EE"/>
    </w:rPr>
  </w:style>
  <w:style w:type="paragraph" w:styleId="Header">
    <w:name w:val="header"/>
    <w:basedOn w:val="Normal"/>
    <w:link w:val="HeaderChar"/>
    <w:uiPriority w:val="99"/>
    <w:unhideWhenUsed/>
    <w:rsid w:val="00416D56"/>
    <w:pPr>
      <w:tabs>
        <w:tab w:val="center" w:pos="4513"/>
        <w:tab w:val="right" w:pos="9026"/>
      </w:tabs>
    </w:pPr>
  </w:style>
  <w:style w:type="character" w:customStyle="1" w:styleId="HeaderChar">
    <w:name w:val="Header Char"/>
    <w:basedOn w:val="DefaultParagraphFont"/>
    <w:link w:val="Header"/>
    <w:uiPriority w:val="99"/>
    <w:rsid w:val="00416D56"/>
    <w:rPr>
      <w:rFonts w:ascii="Times New Roman" w:eastAsia="Times New Roman" w:hAnsi="Times New Roman" w:cs="Times New Roman"/>
      <w:sz w:val="24"/>
      <w:szCs w:val="24"/>
      <w:lang w:val="et-EE" w:eastAsia="et-EE"/>
    </w:rPr>
  </w:style>
  <w:style w:type="paragraph" w:styleId="Footer">
    <w:name w:val="footer"/>
    <w:basedOn w:val="Normal"/>
    <w:link w:val="FooterChar"/>
    <w:uiPriority w:val="99"/>
    <w:unhideWhenUsed/>
    <w:rsid w:val="00416D56"/>
    <w:pPr>
      <w:tabs>
        <w:tab w:val="center" w:pos="4513"/>
        <w:tab w:val="right" w:pos="9026"/>
      </w:tabs>
    </w:pPr>
  </w:style>
  <w:style w:type="character" w:customStyle="1" w:styleId="FooterChar">
    <w:name w:val="Footer Char"/>
    <w:basedOn w:val="DefaultParagraphFont"/>
    <w:link w:val="Footer"/>
    <w:uiPriority w:val="99"/>
    <w:rsid w:val="00416D56"/>
    <w:rPr>
      <w:rFonts w:ascii="Times New Roman" w:eastAsia="Times New Roman" w:hAnsi="Times New Roman" w:cs="Times New Roman"/>
      <w:sz w:val="24"/>
      <w:szCs w:val="24"/>
      <w:lang w:val="et-EE" w:eastAsia="et-EE"/>
    </w:rPr>
  </w:style>
  <w:style w:type="character" w:customStyle="1" w:styleId="Heading1Char">
    <w:name w:val="Heading 1 Char"/>
    <w:basedOn w:val="DefaultParagraphFont"/>
    <w:link w:val="Heading1"/>
    <w:rsid w:val="002903F8"/>
    <w:rPr>
      <w:rFonts w:ascii="Arial" w:eastAsia="Times New Roman" w:hAnsi="Arial" w:cs="Times New Roman"/>
      <w:b/>
      <w:kern w:val="28"/>
      <w:szCs w:val="20"/>
      <w:lang w:val="x-none" w:eastAsia="x-none"/>
    </w:rPr>
  </w:style>
  <w:style w:type="paragraph" w:customStyle="1" w:styleId="Tase2">
    <w:name w:val="Tase 2"/>
    <w:basedOn w:val="Normal"/>
    <w:rsid w:val="002903F8"/>
    <w:pPr>
      <w:numPr>
        <w:ilvl w:val="1"/>
        <w:numId w:val="9"/>
      </w:numPr>
      <w:autoSpaceDE/>
      <w:autoSpaceDN/>
      <w:spacing w:before="120"/>
    </w:pPr>
    <w:rPr>
      <w:rFonts w:ascii="Garamond" w:hAnsi="Garamond"/>
      <w:sz w:val="22"/>
      <w:szCs w:val="20"/>
    </w:rPr>
  </w:style>
  <w:style w:type="paragraph" w:styleId="ListParagraph">
    <w:name w:val="List Paragraph"/>
    <w:basedOn w:val="Normal"/>
    <w:uiPriority w:val="34"/>
    <w:qFormat/>
    <w:rsid w:val="00255A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839991">
      <w:bodyDiv w:val="1"/>
      <w:marLeft w:val="0"/>
      <w:marRight w:val="0"/>
      <w:marTop w:val="0"/>
      <w:marBottom w:val="0"/>
      <w:divBdr>
        <w:top w:val="none" w:sz="0" w:space="0" w:color="auto"/>
        <w:left w:val="none" w:sz="0" w:space="0" w:color="auto"/>
        <w:bottom w:val="none" w:sz="0" w:space="0" w:color="auto"/>
        <w:right w:val="none" w:sz="0" w:space="0" w:color="auto"/>
      </w:divBdr>
    </w:div>
    <w:div w:id="704716909">
      <w:bodyDiv w:val="1"/>
      <w:marLeft w:val="0"/>
      <w:marRight w:val="0"/>
      <w:marTop w:val="0"/>
      <w:marBottom w:val="0"/>
      <w:divBdr>
        <w:top w:val="none" w:sz="0" w:space="0" w:color="auto"/>
        <w:left w:val="none" w:sz="0" w:space="0" w:color="auto"/>
        <w:bottom w:val="none" w:sz="0" w:space="0" w:color="auto"/>
        <w:right w:val="none" w:sz="0" w:space="0" w:color="auto"/>
      </w:divBdr>
    </w:div>
    <w:div w:id="1129517593">
      <w:bodyDiv w:val="1"/>
      <w:marLeft w:val="0"/>
      <w:marRight w:val="0"/>
      <w:marTop w:val="0"/>
      <w:marBottom w:val="0"/>
      <w:divBdr>
        <w:top w:val="none" w:sz="0" w:space="0" w:color="auto"/>
        <w:left w:val="none" w:sz="0" w:space="0" w:color="auto"/>
        <w:bottom w:val="none" w:sz="0" w:space="0" w:color="auto"/>
        <w:right w:val="none" w:sz="0" w:space="0" w:color="auto"/>
      </w:divBdr>
    </w:div>
    <w:div w:id="1552378307">
      <w:bodyDiv w:val="1"/>
      <w:marLeft w:val="0"/>
      <w:marRight w:val="0"/>
      <w:marTop w:val="0"/>
      <w:marBottom w:val="0"/>
      <w:divBdr>
        <w:top w:val="none" w:sz="0" w:space="0" w:color="auto"/>
        <w:left w:val="none" w:sz="0" w:space="0" w:color="auto"/>
        <w:bottom w:val="none" w:sz="0" w:space="0" w:color="auto"/>
        <w:right w:val="none" w:sz="0" w:space="0" w:color="auto"/>
      </w:divBdr>
    </w:div>
    <w:div w:id="1914580826">
      <w:bodyDiv w:val="1"/>
      <w:marLeft w:val="0"/>
      <w:marRight w:val="0"/>
      <w:marTop w:val="0"/>
      <w:marBottom w:val="0"/>
      <w:divBdr>
        <w:top w:val="none" w:sz="0" w:space="0" w:color="auto"/>
        <w:left w:val="none" w:sz="0" w:space="0" w:color="auto"/>
        <w:bottom w:val="none" w:sz="0" w:space="0" w:color="auto"/>
        <w:right w:val="none" w:sz="0" w:space="0" w:color="auto"/>
      </w:divBdr>
    </w:div>
    <w:div w:id="1952668997">
      <w:bodyDiv w:val="1"/>
      <w:marLeft w:val="0"/>
      <w:marRight w:val="0"/>
      <w:marTop w:val="0"/>
      <w:marBottom w:val="0"/>
      <w:divBdr>
        <w:top w:val="none" w:sz="0" w:space="0" w:color="auto"/>
        <w:left w:val="none" w:sz="0" w:space="0" w:color="auto"/>
        <w:bottom w:val="none" w:sz="0" w:space="0" w:color="auto"/>
        <w:right w:val="none" w:sz="0" w:space="0" w:color="auto"/>
      </w:divBdr>
    </w:div>
    <w:div w:id="210576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jmh.e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aigla@jmh.e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aigla@jmh.e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3db763c-6f13-437d-be94-86487e50383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A6CE8565CB344393B8937B15233687" ma:contentTypeVersion="14" ma:contentTypeDescription="Create a new document." ma:contentTypeScope="" ma:versionID="595eddbe76acdeb5c273ff8a5e7ac45b">
  <xsd:schema xmlns:xsd="http://www.w3.org/2001/XMLSchema" xmlns:xs="http://www.w3.org/2001/XMLSchema" xmlns:p="http://schemas.microsoft.com/office/2006/metadata/properties" xmlns:ns3="d3db763c-6f13-437d-be94-86487e50383b" xmlns:ns4="69162fb3-ab76-467a-9bd5-f6e50a39d9fc" targetNamespace="http://schemas.microsoft.com/office/2006/metadata/properties" ma:root="true" ma:fieldsID="d97d319edcb7952c2f1418a42182270e" ns3:_="" ns4:_="">
    <xsd:import namespace="d3db763c-6f13-437d-be94-86487e50383b"/>
    <xsd:import namespace="69162fb3-ab76-467a-9bd5-f6e50a39d9f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bjectDetectorVersion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b763c-6f13-437d-be94-86487e5038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162fb3-ab76-467a-9bd5-f6e50a39d9f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4CD04-B0E2-4350-AB00-528A406484CD}">
  <ds:schemaRefs>
    <ds:schemaRef ds:uri="http://schemas.microsoft.com/sharepoint/v3/contenttype/forms"/>
  </ds:schemaRefs>
</ds:datastoreItem>
</file>

<file path=customXml/itemProps2.xml><?xml version="1.0" encoding="utf-8"?>
<ds:datastoreItem xmlns:ds="http://schemas.openxmlformats.org/officeDocument/2006/customXml" ds:itemID="{A6702062-54BB-48C9-A4C3-23809DE886FC}">
  <ds:schemaRefs>
    <ds:schemaRef ds:uri="http://schemas.microsoft.com/office/infopath/2007/PartnerControls"/>
    <ds:schemaRef ds:uri="http://purl.org/dc/terms/"/>
    <ds:schemaRef ds:uri="http://schemas.openxmlformats.org/package/2006/metadata/core-properties"/>
    <ds:schemaRef ds:uri="69162fb3-ab76-467a-9bd5-f6e50a39d9fc"/>
    <ds:schemaRef ds:uri="http://purl.org/dc/dcmitype/"/>
    <ds:schemaRef ds:uri="http://purl.org/dc/elements/1.1/"/>
    <ds:schemaRef ds:uri="http://schemas.microsoft.com/office/2006/metadata/properties"/>
    <ds:schemaRef ds:uri="http://schemas.microsoft.com/office/2006/documentManagement/types"/>
    <ds:schemaRef ds:uri="d3db763c-6f13-437d-be94-86487e50383b"/>
    <ds:schemaRef ds:uri="http://www.w3.org/XML/1998/namespace"/>
  </ds:schemaRefs>
</ds:datastoreItem>
</file>

<file path=customXml/itemProps3.xml><?xml version="1.0" encoding="utf-8"?>
<ds:datastoreItem xmlns:ds="http://schemas.openxmlformats.org/officeDocument/2006/customXml" ds:itemID="{20E29C90-C633-4857-B6C5-455FF01DB0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b763c-6f13-437d-be94-86487e50383b"/>
    <ds:schemaRef ds:uri="69162fb3-ab76-467a-9bd5-f6e50a39d9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003B36-4F84-4D68-A61A-7F8D25BB4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961</Words>
  <Characters>5579</Characters>
  <Application>Microsoft Office Word</Application>
  <DocSecurity>0</DocSecurity>
  <Lines>46</Lines>
  <Paragraphs>13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SC1511</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Asta Reinla</dc:creator>
  <cp:keywords/>
  <dc:description/>
  <cp:lastModifiedBy>Kermo Orgvee - JMH</cp:lastModifiedBy>
  <cp:revision>12</cp:revision>
  <dcterms:created xsi:type="dcterms:W3CDTF">2024-01-26T09:46:00Z</dcterms:created>
  <dcterms:modified xsi:type="dcterms:W3CDTF">2024-02-07T13:07:00Z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0x010100FCA6CE8565CB344393B8937B15233687</vt:lpwstr>
  </property>
</Properties>
</file>